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10" w:type="dxa"/>
        <w:tblLayout w:type="fixed"/>
        <w:tblLook w:val="0000" w:firstRow="0" w:lastRow="0" w:firstColumn="0" w:lastColumn="0" w:noHBand="0" w:noVBand="0"/>
      </w:tblPr>
      <w:tblGrid>
        <w:gridCol w:w="3510"/>
        <w:gridCol w:w="4829"/>
        <w:gridCol w:w="171"/>
      </w:tblGrid>
      <w:tr w:rsidR="007B23FC" w14:paraId="39FBB6C9" w14:textId="77777777" w:rsidTr="008210B6">
        <w:tc>
          <w:tcPr>
            <w:tcW w:w="8510" w:type="dxa"/>
            <w:gridSpan w:val="3"/>
          </w:tcPr>
          <w:p w14:paraId="3323CE26" w14:textId="77777777" w:rsidR="007B23FC" w:rsidRDefault="002774F4"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14:anchorId="026A509D" wp14:editId="43A349FD">
                  <wp:simplePos x="0" y="0"/>
                  <wp:positionH relativeFrom="column">
                    <wp:posOffset>-85725</wp:posOffset>
                  </wp:positionH>
                  <wp:positionV relativeFrom="page">
                    <wp:posOffset>97155</wp:posOffset>
                  </wp:positionV>
                  <wp:extent cx="5406390" cy="869315"/>
                  <wp:effectExtent l="0" t="0" r="3810" b="6985"/>
                  <wp:wrapNone/>
                  <wp:docPr id="9"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13">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14:paraId="7FA85C3F" w14:textId="77777777" w:rsidR="003728EE" w:rsidRDefault="003728EE" w:rsidP="00A53B04">
            <w:pPr>
              <w:pStyle w:val="Infotext"/>
              <w:rPr>
                <w:rFonts w:ascii="Arial Black" w:hAnsi="Arial Black"/>
                <w:color w:val="999999"/>
                <w:sz w:val="36"/>
                <w:szCs w:val="36"/>
              </w:rPr>
            </w:pPr>
          </w:p>
          <w:p w14:paraId="78E7D1EC" w14:textId="77777777" w:rsidR="007B23FC" w:rsidRDefault="007B23FC" w:rsidP="00A53B04">
            <w:pPr>
              <w:pStyle w:val="Infotext"/>
              <w:rPr>
                <w:rFonts w:ascii="Arial Black" w:hAnsi="Arial Black"/>
                <w:color w:val="999999"/>
                <w:sz w:val="36"/>
                <w:szCs w:val="36"/>
              </w:rPr>
            </w:pPr>
          </w:p>
          <w:p w14:paraId="706D404B" w14:textId="77777777" w:rsidR="007B23FC" w:rsidRDefault="007B23FC" w:rsidP="00A53B04">
            <w:pPr>
              <w:pStyle w:val="Infotext"/>
              <w:rPr>
                <w:rFonts w:ascii="Arial Black" w:hAnsi="Arial Black"/>
                <w:color w:val="999999"/>
                <w:sz w:val="36"/>
                <w:szCs w:val="36"/>
              </w:rPr>
            </w:pPr>
          </w:p>
          <w:p w14:paraId="2A487D4D" w14:textId="77777777" w:rsidR="007B23FC" w:rsidRPr="007B23FC" w:rsidRDefault="007B23FC" w:rsidP="00A53B04">
            <w:pPr>
              <w:rPr>
                <w:rFonts w:ascii="Arial Black" w:hAnsi="Arial Black" w:cs="Arial"/>
                <w:szCs w:val="36"/>
              </w:rPr>
            </w:pPr>
          </w:p>
        </w:tc>
      </w:tr>
      <w:tr w:rsidR="00333FAA" w14:paraId="47227AE1" w14:textId="77777777" w:rsidTr="008210B6">
        <w:tc>
          <w:tcPr>
            <w:tcW w:w="3510" w:type="dxa"/>
            <w:tcBorders>
              <w:bottom w:val="single" w:sz="18" w:space="0" w:color="auto"/>
            </w:tcBorders>
          </w:tcPr>
          <w:p w14:paraId="2B96DE07"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55D07B26" w14:textId="77777777" w:rsidR="00333FAA" w:rsidRPr="00B805DB" w:rsidRDefault="00333FAA" w:rsidP="00A53B04">
            <w:pPr>
              <w:pStyle w:val="Infotext"/>
              <w:rPr>
                <w:rFonts w:ascii="Arial Black" w:hAnsi="Arial Black" w:cs="Arial"/>
                <w:sz w:val="36"/>
                <w:szCs w:val="36"/>
              </w:rPr>
            </w:pPr>
          </w:p>
        </w:tc>
        <w:tc>
          <w:tcPr>
            <w:tcW w:w="5000" w:type="dxa"/>
            <w:gridSpan w:val="2"/>
            <w:tcBorders>
              <w:bottom w:val="single" w:sz="18" w:space="0" w:color="auto"/>
            </w:tcBorders>
          </w:tcPr>
          <w:p w14:paraId="3A113B05"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4211FCF8" w14:textId="77777777" w:rsidR="00333FAA" w:rsidRPr="005E3A10" w:rsidRDefault="00333FAA" w:rsidP="00A53B04">
            <w:pPr>
              <w:rPr>
                <w:rFonts w:ascii="Arial Black" w:hAnsi="Arial Black" w:cs="Arial"/>
                <w:szCs w:val="24"/>
              </w:rPr>
            </w:pPr>
          </w:p>
        </w:tc>
      </w:tr>
      <w:tr w:rsidR="00333FAA" w14:paraId="2541488F" w14:textId="77777777" w:rsidTr="008210B6">
        <w:tc>
          <w:tcPr>
            <w:tcW w:w="3510" w:type="dxa"/>
            <w:tcBorders>
              <w:top w:val="single" w:sz="18" w:space="0" w:color="auto"/>
            </w:tcBorders>
          </w:tcPr>
          <w:p w14:paraId="10D0D9D7"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3741C740" w14:textId="77777777" w:rsidR="00333FAA" w:rsidRPr="00C13A5F" w:rsidRDefault="00333FAA" w:rsidP="00A53B04">
            <w:pPr>
              <w:pStyle w:val="Infotext"/>
              <w:rPr>
                <w:rFonts w:ascii="Arial Black" w:hAnsi="Arial Black" w:cs="Arial"/>
              </w:rPr>
            </w:pPr>
          </w:p>
        </w:tc>
        <w:tc>
          <w:tcPr>
            <w:tcW w:w="5000" w:type="dxa"/>
            <w:gridSpan w:val="2"/>
            <w:tcBorders>
              <w:top w:val="single" w:sz="18" w:space="0" w:color="auto"/>
            </w:tcBorders>
          </w:tcPr>
          <w:p w14:paraId="7185BA4A" w14:textId="3C6B1D7B" w:rsidR="00333FAA" w:rsidRDefault="00C61CE7" w:rsidP="00DD3A49">
            <w:pPr>
              <w:rPr>
                <w:rFonts w:cs="Arial"/>
              </w:rPr>
            </w:pPr>
            <w:r>
              <w:rPr>
                <w:rFonts w:cs="Arial"/>
              </w:rPr>
              <w:t>16</w:t>
            </w:r>
            <w:r w:rsidR="00FF509C" w:rsidRPr="006B1DE1">
              <w:rPr>
                <w:rFonts w:cs="Arial"/>
              </w:rPr>
              <w:t xml:space="preserve"> </w:t>
            </w:r>
            <w:r>
              <w:rPr>
                <w:rFonts w:cs="Arial"/>
              </w:rPr>
              <w:t>February 2017</w:t>
            </w:r>
          </w:p>
          <w:p w14:paraId="32489322" w14:textId="77777777" w:rsidR="00DD3A49" w:rsidRPr="005E3A10" w:rsidRDefault="00DD3A49" w:rsidP="00DD3A49">
            <w:pPr>
              <w:rPr>
                <w:rFonts w:cs="Arial"/>
                <w:szCs w:val="24"/>
              </w:rPr>
            </w:pPr>
          </w:p>
        </w:tc>
      </w:tr>
      <w:tr w:rsidR="00333FAA" w14:paraId="6CB612C8" w14:textId="77777777" w:rsidTr="008210B6">
        <w:tc>
          <w:tcPr>
            <w:tcW w:w="3510" w:type="dxa"/>
          </w:tcPr>
          <w:p w14:paraId="54895B2F"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347BED9F" w14:textId="77777777" w:rsidR="00333FAA" w:rsidRPr="00C13A5F" w:rsidRDefault="00333FAA" w:rsidP="00A53B04">
            <w:pPr>
              <w:pStyle w:val="Infotext"/>
              <w:rPr>
                <w:rFonts w:ascii="Arial Black" w:hAnsi="Arial Black"/>
              </w:rPr>
            </w:pPr>
          </w:p>
        </w:tc>
        <w:tc>
          <w:tcPr>
            <w:tcW w:w="5000" w:type="dxa"/>
            <w:gridSpan w:val="2"/>
          </w:tcPr>
          <w:p w14:paraId="1157B48C" w14:textId="04EE3485" w:rsidR="00333FAA" w:rsidRPr="005E3A10" w:rsidRDefault="00D77527" w:rsidP="00C61CE7">
            <w:pPr>
              <w:rPr>
                <w:rFonts w:cs="Arial"/>
                <w:szCs w:val="24"/>
              </w:rPr>
            </w:pPr>
            <w:r>
              <w:rPr>
                <w:rFonts w:cs="Arial"/>
              </w:rPr>
              <w:t xml:space="preserve">2016/17 </w:t>
            </w:r>
            <w:r w:rsidR="00FF509C" w:rsidRPr="006B1DE1">
              <w:rPr>
                <w:rFonts w:cs="Arial"/>
              </w:rPr>
              <w:t xml:space="preserve">Revenue and Capital Monitoring for Quarter </w:t>
            </w:r>
            <w:r w:rsidR="00C61CE7">
              <w:rPr>
                <w:rFonts w:cs="Arial"/>
              </w:rPr>
              <w:t>3</w:t>
            </w:r>
            <w:r w:rsidR="00FF509C" w:rsidRPr="006B1DE1">
              <w:rPr>
                <w:rFonts w:cs="Arial"/>
              </w:rPr>
              <w:t xml:space="preserve"> as at </w:t>
            </w:r>
            <w:r w:rsidR="00C61CE7">
              <w:rPr>
                <w:rFonts w:cs="Arial"/>
              </w:rPr>
              <w:t>31</w:t>
            </w:r>
            <w:r w:rsidR="009F2E4F">
              <w:rPr>
                <w:rFonts w:cs="Arial"/>
              </w:rPr>
              <w:t xml:space="preserve"> </w:t>
            </w:r>
            <w:r w:rsidR="00C61CE7">
              <w:rPr>
                <w:rFonts w:cs="Arial"/>
              </w:rPr>
              <w:t>December</w:t>
            </w:r>
            <w:r w:rsidR="00E871FD">
              <w:rPr>
                <w:rFonts w:cs="Arial"/>
              </w:rPr>
              <w:t xml:space="preserve"> 2016</w:t>
            </w:r>
          </w:p>
        </w:tc>
      </w:tr>
      <w:tr w:rsidR="00333FAA" w14:paraId="4FDEED1F" w14:textId="77777777" w:rsidTr="008210B6">
        <w:tc>
          <w:tcPr>
            <w:tcW w:w="3510" w:type="dxa"/>
          </w:tcPr>
          <w:p w14:paraId="1FFB7E24"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0E22EBBF" w14:textId="77777777" w:rsidR="00333FAA" w:rsidRPr="00C13A5F" w:rsidRDefault="00333FAA" w:rsidP="00A53B04">
            <w:pPr>
              <w:pStyle w:val="Infotext"/>
              <w:rPr>
                <w:rFonts w:ascii="Arial Black" w:hAnsi="Arial Black" w:cs="Arial"/>
              </w:rPr>
            </w:pPr>
          </w:p>
        </w:tc>
        <w:tc>
          <w:tcPr>
            <w:tcW w:w="5000" w:type="dxa"/>
            <w:gridSpan w:val="2"/>
          </w:tcPr>
          <w:p w14:paraId="6CBAA87E" w14:textId="77777777" w:rsidR="00333FAA" w:rsidRPr="005E3A10" w:rsidRDefault="006D3696" w:rsidP="002C672F">
            <w:pPr>
              <w:pStyle w:val="Infotext"/>
              <w:rPr>
                <w:rFonts w:cs="Arial"/>
                <w:szCs w:val="24"/>
              </w:rPr>
            </w:pPr>
            <w:r>
              <w:rPr>
                <w:rFonts w:cs="Arial"/>
                <w:sz w:val="24"/>
                <w:szCs w:val="24"/>
              </w:rPr>
              <w:t>Yes</w:t>
            </w:r>
          </w:p>
        </w:tc>
      </w:tr>
      <w:tr w:rsidR="001C7E35" w14:paraId="4B648F80" w14:textId="77777777" w:rsidTr="008210B6">
        <w:tc>
          <w:tcPr>
            <w:tcW w:w="3510" w:type="dxa"/>
          </w:tcPr>
          <w:p w14:paraId="363BA823"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29AE1371" w14:textId="77777777" w:rsidR="001C7E35" w:rsidRPr="00C13A5F" w:rsidRDefault="001C7E35" w:rsidP="00A53B04">
            <w:pPr>
              <w:pStyle w:val="Infotext"/>
              <w:rPr>
                <w:rFonts w:ascii="Arial Black" w:hAnsi="Arial Black" w:cs="Arial"/>
              </w:rPr>
            </w:pPr>
          </w:p>
        </w:tc>
        <w:tc>
          <w:tcPr>
            <w:tcW w:w="5000" w:type="dxa"/>
            <w:gridSpan w:val="2"/>
          </w:tcPr>
          <w:p w14:paraId="162CAFE5" w14:textId="77777777" w:rsidR="001C7E35" w:rsidRPr="00FF509C" w:rsidRDefault="00FF509C" w:rsidP="00D835CF">
            <w:pPr>
              <w:pStyle w:val="Infotext"/>
              <w:rPr>
                <w:rFonts w:cs="Arial"/>
                <w:sz w:val="24"/>
                <w:szCs w:val="24"/>
              </w:rPr>
            </w:pPr>
            <w:r w:rsidRPr="00FF509C">
              <w:rPr>
                <w:rFonts w:cs="Arial"/>
                <w:sz w:val="24"/>
                <w:szCs w:val="24"/>
              </w:rPr>
              <w:t xml:space="preserve">Dawn Calvert, Director of Finance </w:t>
            </w:r>
          </w:p>
        </w:tc>
      </w:tr>
      <w:tr w:rsidR="001C7E35" w14:paraId="26DE3B16" w14:textId="77777777" w:rsidTr="008210B6">
        <w:tc>
          <w:tcPr>
            <w:tcW w:w="3510" w:type="dxa"/>
          </w:tcPr>
          <w:p w14:paraId="6BE1FAE3"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5762CB0D" w14:textId="77777777" w:rsidR="001C7E35" w:rsidRPr="00C13A5F" w:rsidRDefault="001C7E35" w:rsidP="00A53B04">
            <w:pPr>
              <w:pStyle w:val="BodyText"/>
              <w:rPr>
                <w:rFonts w:ascii="Arial Black" w:hAnsi="Arial Black"/>
              </w:rPr>
            </w:pPr>
          </w:p>
        </w:tc>
        <w:tc>
          <w:tcPr>
            <w:tcW w:w="5000" w:type="dxa"/>
            <w:gridSpan w:val="2"/>
          </w:tcPr>
          <w:p w14:paraId="0414A3D8" w14:textId="77777777" w:rsidR="001C7E35" w:rsidRPr="005E3A10" w:rsidRDefault="00FF509C" w:rsidP="00E871FD">
            <w:pPr>
              <w:pStyle w:val="Infotext"/>
              <w:rPr>
                <w:rFonts w:cs="Arial"/>
                <w:color w:val="FF0000"/>
                <w:sz w:val="24"/>
                <w:szCs w:val="24"/>
              </w:rPr>
            </w:pPr>
            <w:r w:rsidRPr="00FF509C">
              <w:rPr>
                <w:rFonts w:cs="Arial"/>
                <w:sz w:val="24"/>
                <w:szCs w:val="24"/>
              </w:rPr>
              <w:t xml:space="preserve">Councillor </w:t>
            </w:r>
            <w:r w:rsidR="00D77527">
              <w:rPr>
                <w:rFonts w:cs="Arial"/>
                <w:sz w:val="24"/>
                <w:szCs w:val="24"/>
              </w:rPr>
              <w:t>Adam Swersk</w:t>
            </w:r>
            <w:r w:rsidR="00E871FD">
              <w:rPr>
                <w:rFonts w:cs="Arial"/>
                <w:sz w:val="24"/>
                <w:szCs w:val="24"/>
              </w:rPr>
              <w:t>y,</w:t>
            </w:r>
            <w:r w:rsidRPr="00FF509C">
              <w:rPr>
                <w:rFonts w:cs="Arial"/>
                <w:sz w:val="24"/>
                <w:szCs w:val="24"/>
              </w:rPr>
              <w:t xml:space="preserve"> Portfolio Holder for Finance and </w:t>
            </w:r>
            <w:r w:rsidR="00E871FD">
              <w:rPr>
                <w:rFonts w:cs="Arial"/>
                <w:sz w:val="24"/>
                <w:szCs w:val="24"/>
              </w:rPr>
              <w:t>Commercialisation</w:t>
            </w:r>
          </w:p>
        </w:tc>
      </w:tr>
      <w:tr w:rsidR="001C7E35" w14:paraId="482B9714" w14:textId="77777777" w:rsidTr="008210B6">
        <w:tc>
          <w:tcPr>
            <w:tcW w:w="3510" w:type="dxa"/>
          </w:tcPr>
          <w:p w14:paraId="368D7583" w14:textId="77777777" w:rsidR="001C7E35" w:rsidRPr="00DB6C3D" w:rsidRDefault="001C7E35" w:rsidP="00DB6C3D">
            <w:pPr>
              <w:pStyle w:val="Infotext"/>
              <w:rPr>
                <w:rFonts w:ascii="Arial Black" w:hAnsi="Arial Black"/>
              </w:rPr>
            </w:pPr>
            <w:r w:rsidRPr="00DB6C3D">
              <w:rPr>
                <w:rFonts w:ascii="Arial Black" w:hAnsi="Arial Black"/>
              </w:rPr>
              <w:t>Exempt:</w:t>
            </w:r>
          </w:p>
          <w:p w14:paraId="6BE1F71B" w14:textId="77777777" w:rsidR="001C7E35" w:rsidRPr="00C13A5F" w:rsidRDefault="001C7E35" w:rsidP="00A53B04">
            <w:pPr>
              <w:pStyle w:val="BodyText"/>
              <w:rPr>
                <w:rFonts w:ascii="Arial Black" w:hAnsi="Arial Black"/>
              </w:rPr>
            </w:pPr>
          </w:p>
        </w:tc>
        <w:tc>
          <w:tcPr>
            <w:tcW w:w="5000" w:type="dxa"/>
            <w:gridSpan w:val="2"/>
          </w:tcPr>
          <w:p w14:paraId="1263810A" w14:textId="2E781C56" w:rsidR="00EF3E22" w:rsidRPr="00EF3E22" w:rsidRDefault="00E9195A" w:rsidP="00F650D7">
            <w:pPr>
              <w:pStyle w:val="Infotext"/>
              <w:ind w:right="356"/>
              <w:jc w:val="both"/>
              <w:outlineLvl w:val="0"/>
              <w:rPr>
                <w:rFonts w:cs="Arial"/>
                <w:sz w:val="24"/>
                <w:szCs w:val="24"/>
              </w:rPr>
            </w:pPr>
            <w:r w:rsidRPr="00E9195A">
              <w:rPr>
                <w:rFonts w:cs="Arial"/>
                <w:sz w:val="24"/>
                <w:szCs w:val="24"/>
              </w:rPr>
              <w:t>No</w:t>
            </w:r>
          </w:p>
          <w:p w14:paraId="56D1C2D0" w14:textId="4B39F745" w:rsidR="001C7E35" w:rsidRPr="005E3A10" w:rsidRDefault="001C7E35" w:rsidP="00A64789">
            <w:pPr>
              <w:pStyle w:val="Infotext"/>
              <w:rPr>
                <w:rFonts w:cs="Arial"/>
                <w:color w:val="FF0000"/>
                <w:sz w:val="24"/>
                <w:szCs w:val="24"/>
              </w:rPr>
            </w:pPr>
          </w:p>
        </w:tc>
      </w:tr>
      <w:tr w:rsidR="001C7E35" w14:paraId="41B65A1D" w14:textId="77777777" w:rsidTr="008210B6">
        <w:tc>
          <w:tcPr>
            <w:tcW w:w="3510" w:type="dxa"/>
          </w:tcPr>
          <w:p w14:paraId="4B4FBB39"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4CCE5532" w14:textId="77777777" w:rsidR="001C7E35" w:rsidRPr="00C13A5F" w:rsidRDefault="001C7E35" w:rsidP="00A53B04">
            <w:pPr>
              <w:pStyle w:val="BodyText"/>
              <w:rPr>
                <w:rFonts w:ascii="Arial Black" w:hAnsi="Arial Black"/>
              </w:rPr>
            </w:pPr>
          </w:p>
        </w:tc>
        <w:tc>
          <w:tcPr>
            <w:tcW w:w="5000" w:type="dxa"/>
            <w:gridSpan w:val="2"/>
          </w:tcPr>
          <w:p w14:paraId="22A730B0" w14:textId="77777777" w:rsidR="001C7E35" w:rsidRPr="005E3A10" w:rsidRDefault="001C7E35" w:rsidP="00D835CF">
            <w:pPr>
              <w:pStyle w:val="Infotext"/>
              <w:rPr>
                <w:rFonts w:cs="Arial"/>
                <w:sz w:val="24"/>
                <w:szCs w:val="24"/>
              </w:rPr>
            </w:pPr>
            <w:r w:rsidRPr="005E3A10">
              <w:rPr>
                <w:rFonts w:cs="Arial"/>
                <w:sz w:val="24"/>
                <w:szCs w:val="24"/>
              </w:rPr>
              <w:t xml:space="preserve">Yes </w:t>
            </w:r>
          </w:p>
          <w:p w14:paraId="03039B65" w14:textId="77777777" w:rsidR="001C7E35" w:rsidRPr="005E3A10" w:rsidRDefault="001C7E35" w:rsidP="00D835CF">
            <w:pPr>
              <w:rPr>
                <w:rFonts w:cs="Arial"/>
                <w:szCs w:val="24"/>
              </w:rPr>
            </w:pPr>
          </w:p>
          <w:p w14:paraId="3C6D21CC" w14:textId="77777777" w:rsidR="00714BEE" w:rsidRPr="005E3A10" w:rsidRDefault="00714BEE" w:rsidP="00D835CF">
            <w:pPr>
              <w:rPr>
                <w:rFonts w:cs="Arial"/>
                <w:szCs w:val="24"/>
              </w:rPr>
            </w:pPr>
          </w:p>
        </w:tc>
      </w:tr>
      <w:tr w:rsidR="001C7E35" w14:paraId="5E775D45" w14:textId="77777777" w:rsidTr="008210B6">
        <w:tc>
          <w:tcPr>
            <w:tcW w:w="3510" w:type="dxa"/>
          </w:tcPr>
          <w:p w14:paraId="0BABF490" w14:textId="77777777" w:rsidR="001C7E35" w:rsidRDefault="001C7E35" w:rsidP="00A53B04">
            <w:pPr>
              <w:pStyle w:val="Infotext"/>
              <w:rPr>
                <w:rFonts w:ascii="Arial Black" w:hAnsi="Arial Black" w:cs="Arial"/>
              </w:rPr>
            </w:pPr>
            <w:r>
              <w:rPr>
                <w:rFonts w:ascii="Arial Black" w:hAnsi="Arial Black" w:cs="Arial"/>
              </w:rPr>
              <w:t>Wards affected:</w:t>
            </w:r>
          </w:p>
          <w:p w14:paraId="5ED1EC9C" w14:textId="77777777" w:rsidR="001C7E35" w:rsidRPr="00C13A5F" w:rsidRDefault="001C7E35" w:rsidP="00A53B04">
            <w:pPr>
              <w:pStyle w:val="Infotext"/>
              <w:rPr>
                <w:rFonts w:ascii="Arial Black" w:hAnsi="Arial Black" w:cs="Arial"/>
              </w:rPr>
            </w:pPr>
            <w:bookmarkStart w:id="0" w:name="_GoBack"/>
            <w:bookmarkEnd w:id="0"/>
          </w:p>
        </w:tc>
        <w:tc>
          <w:tcPr>
            <w:tcW w:w="5000" w:type="dxa"/>
            <w:gridSpan w:val="2"/>
          </w:tcPr>
          <w:p w14:paraId="366F14A2" w14:textId="77777777" w:rsidR="001C7E35" w:rsidRPr="005E3A10" w:rsidRDefault="00FF509C" w:rsidP="00D835CF">
            <w:pPr>
              <w:rPr>
                <w:rFonts w:cs="Arial"/>
                <w:szCs w:val="24"/>
              </w:rPr>
            </w:pPr>
            <w:r>
              <w:rPr>
                <w:rFonts w:cs="Arial"/>
                <w:szCs w:val="24"/>
              </w:rPr>
              <w:t>All</w:t>
            </w:r>
          </w:p>
        </w:tc>
      </w:tr>
      <w:tr w:rsidR="001C7E35" w14:paraId="2AD78899" w14:textId="77777777" w:rsidTr="008210B6">
        <w:tc>
          <w:tcPr>
            <w:tcW w:w="3510" w:type="dxa"/>
          </w:tcPr>
          <w:p w14:paraId="244218C7"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0AC97A6D" w14:textId="77777777" w:rsidR="001C7E35" w:rsidRDefault="001C7E35" w:rsidP="00A53B04">
            <w:pPr>
              <w:pStyle w:val="Infotext"/>
              <w:rPr>
                <w:rFonts w:ascii="Arial Black" w:hAnsi="Arial Black" w:cs="Arial"/>
              </w:rPr>
            </w:pPr>
          </w:p>
          <w:p w14:paraId="6E6A633D" w14:textId="77777777" w:rsidR="00A229D2" w:rsidRDefault="00A229D2" w:rsidP="00A53B04">
            <w:pPr>
              <w:pStyle w:val="Infotext"/>
              <w:rPr>
                <w:rFonts w:ascii="Arial Black" w:hAnsi="Arial Black" w:cs="Arial"/>
              </w:rPr>
            </w:pPr>
          </w:p>
          <w:p w14:paraId="16BD55AC" w14:textId="77777777" w:rsidR="00A229D2" w:rsidRPr="00C13A5F" w:rsidRDefault="00A229D2" w:rsidP="00321F56">
            <w:pPr>
              <w:pStyle w:val="Infotext"/>
              <w:rPr>
                <w:rFonts w:ascii="Arial Black" w:hAnsi="Arial Black" w:cs="Arial"/>
              </w:rPr>
            </w:pPr>
          </w:p>
        </w:tc>
        <w:tc>
          <w:tcPr>
            <w:tcW w:w="5000" w:type="dxa"/>
            <w:gridSpan w:val="2"/>
          </w:tcPr>
          <w:p w14:paraId="788C76FB" w14:textId="31E57E88" w:rsidR="00FF509C" w:rsidRPr="006B1DE1" w:rsidRDefault="00FF509C" w:rsidP="00FF509C">
            <w:pPr>
              <w:ind w:left="1512" w:right="489" w:hanging="1512"/>
              <w:rPr>
                <w:rFonts w:cs="Arial"/>
              </w:rPr>
            </w:pPr>
            <w:r w:rsidRPr="006B1DE1">
              <w:rPr>
                <w:rFonts w:cs="Arial"/>
              </w:rPr>
              <w:t>Appendix</w:t>
            </w:r>
            <w:r w:rsidR="00FB408B">
              <w:rPr>
                <w:rFonts w:cs="Arial"/>
              </w:rPr>
              <w:t xml:space="preserve"> 1</w:t>
            </w:r>
            <w:r w:rsidRPr="006B1DE1">
              <w:rPr>
                <w:rFonts w:cs="Arial"/>
              </w:rPr>
              <w:t xml:space="preserve">- Revenue </w:t>
            </w:r>
            <w:r w:rsidR="00FB408B">
              <w:rPr>
                <w:rFonts w:cs="Arial"/>
              </w:rPr>
              <w:t xml:space="preserve">Budget </w:t>
            </w:r>
            <w:r w:rsidRPr="006B1DE1">
              <w:rPr>
                <w:rFonts w:cs="Arial"/>
              </w:rPr>
              <w:t>Summary</w:t>
            </w:r>
          </w:p>
          <w:p w14:paraId="3FBD70AC" w14:textId="7B33C1A5" w:rsidR="00FF509C" w:rsidRPr="006B1DE1" w:rsidRDefault="00FF509C" w:rsidP="00FF509C">
            <w:pPr>
              <w:ind w:left="1512" w:right="489" w:hanging="1512"/>
              <w:rPr>
                <w:rFonts w:cs="Arial"/>
              </w:rPr>
            </w:pPr>
            <w:r w:rsidRPr="006B1DE1">
              <w:rPr>
                <w:rFonts w:cs="Arial"/>
              </w:rPr>
              <w:t>(Directorates) as at 3</w:t>
            </w:r>
            <w:r w:rsidR="00C61CE7">
              <w:rPr>
                <w:rFonts w:cs="Arial"/>
              </w:rPr>
              <w:t>1</w:t>
            </w:r>
            <w:r w:rsidR="009F2E4F">
              <w:rPr>
                <w:rFonts w:cs="Arial"/>
              </w:rPr>
              <w:t xml:space="preserve"> </w:t>
            </w:r>
            <w:r w:rsidR="00C61CE7">
              <w:rPr>
                <w:rFonts w:cs="Arial"/>
              </w:rPr>
              <w:t>Dec</w:t>
            </w:r>
            <w:r w:rsidR="009F2E4F">
              <w:rPr>
                <w:rFonts w:cs="Arial"/>
              </w:rPr>
              <w:t>ember</w:t>
            </w:r>
            <w:r w:rsidR="00E871FD">
              <w:rPr>
                <w:rFonts w:cs="Arial"/>
              </w:rPr>
              <w:t xml:space="preserve"> 2016</w:t>
            </w:r>
          </w:p>
          <w:p w14:paraId="61984921" w14:textId="77777777" w:rsidR="00FF509C" w:rsidRPr="006B1DE1" w:rsidRDefault="00FF509C" w:rsidP="00FF509C">
            <w:pPr>
              <w:ind w:left="1506" w:right="489" w:hanging="1506"/>
              <w:rPr>
                <w:rFonts w:cs="Arial"/>
              </w:rPr>
            </w:pPr>
            <w:r w:rsidRPr="006B1DE1">
              <w:rPr>
                <w:rFonts w:cs="Arial"/>
              </w:rPr>
              <w:t>Appendix 2 – MTFS 201</w:t>
            </w:r>
            <w:r w:rsidR="00E871FD">
              <w:rPr>
                <w:rFonts w:cs="Arial"/>
              </w:rPr>
              <w:t>6</w:t>
            </w:r>
            <w:r w:rsidRPr="006B1DE1">
              <w:rPr>
                <w:rFonts w:cs="Arial"/>
              </w:rPr>
              <w:t>/1</w:t>
            </w:r>
            <w:r w:rsidR="00E871FD">
              <w:rPr>
                <w:rFonts w:cs="Arial"/>
              </w:rPr>
              <w:t>7</w:t>
            </w:r>
            <w:r w:rsidRPr="006B1DE1">
              <w:rPr>
                <w:rFonts w:cs="Arial"/>
              </w:rPr>
              <w:t xml:space="preserve"> to 201</w:t>
            </w:r>
            <w:r w:rsidR="00E871FD">
              <w:rPr>
                <w:rFonts w:cs="Arial"/>
              </w:rPr>
              <w:t>9</w:t>
            </w:r>
            <w:r w:rsidRPr="006B1DE1">
              <w:rPr>
                <w:rFonts w:cs="Arial"/>
              </w:rPr>
              <w:t>/</w:t>
            </w:r>
            <w:r w:rsidR="00E871FD">
              <w:rPr>
                <w:rFonts w:cs="Arial"/>
              </w:rPr>
              <w:t>20</w:t>
            </w:r>
          </w:p>
          <w:p w14:paraId="2A3A5E3E" w14:textId="3CA55BF7" w:rsidR="00FF509C" w:rsidRDefault="00FF509C" w:rsidP="00FF509C">
            <w:pPr>
              <w:ind w:left="1506" w:right="489" w:hanging="1506"/>
              <w:rPr>
                <w:rFonts w:cs="Arial"/>
              </w:rPr>
            </w:pPr>
            <w:r w:rsidRPr="006B1DE1">
              <w:rPr>
                <w:rFonts w:cs="Arial"/>
              </w:rPr>
              <w:t>Savings Tracker</w:t>
            </w:r>
          </w:p>
          <w:p w14:paraId="1D1103A7" w14:textId="77777777" w:rsidR="00EF3E22" w:rsidRDefault="00821970" w:rsidP="00321F56">
            <w:pPr>
              <w:ind w:right="489"/>
              <w:rPr>
                <w:rFonts w:cs="Arial"/>
              </w:rPr>
            </w:pPr>
            <w:r>
              <w:rPr>
                <w:rFonts w:cs="Arial"/>
              </w:rPr>
              <w:t>Appendix 3</w:t>
            </w:r>
            <w:r w:rsidR="003C2EB7">
              <w:rPr>
                <w:rFonts w:cs="Arial"/>
              </w:rPr>
              <w:t>-</w:t>
            </w:r>
            <w:r w:rsidR="00C61CE7">
              <w:rPr>
                <w:rFonts w:cs="Arial"/>
              </w:rPr>
              <w:t xml:space="preserve"> Capital Programme as at 31</w:t>
            </w:r>
            <w:r w:rsidR="009F2E4F">
              <w:rPr>
                <w:rFonts w:cs="Arial"/>
              </w:rPr>
              <w:t xml:space="preserve"> </w:t>
            </w:r>
            <w:r w:rsidR="00C61CE7">
              <w:rPr>
                <w:rFonts w:cs="Arial"/>
              </w:rPr>
              <w:t>Decem</w:t>
            </w:r>
            <w:r w:rsidR="009F2E4F">
              <w:rPr>
                <w:rFonts w:cs="Arial"/>
              </w:rPr>
              <w:t>ber</w:t>
            </w:r>
            <w:r w:rsidR="003C2EB7">
              <w:rPr>
                <w:rFonts w:cs="Arial"/>
              </w:rPr>
              <w:t xml:space="preserve"> 2016</w:t>
            </w:r>
          </w:p>
          <w:p w14:paraId="2C4D4186" w14:textId="4E746981" w:rsidR="00321F56" w:rsidRPr="007635E6" w:rsidRDefault="00321F56" w:rsidP="00321F56">
            <w:pPr>
              <w:ind w:right="489"/>
              <w:rPr>
                <w:rFonts w:cs="Arial"/>
              </w:rPr>
            </w:pPr>
          </w:p>
        </w:tc>
      </w:tr>
      <w:tr w:rsidR="008210B6" w14:paraId="64737F9F" w14:textId="77777777" w:rsidTr="0082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1" w:type="dxa"/>
        </w:trPr>
        <w:tc>
          <w:tcPr>
            <w:tcW w:w="8339" w:type="dxa"/>
            <w:gridSpan w:val="2"/>
            <w:tcBorders>
              <w:top w:val="nil"/>
              <w:left w:val="nil"/>
              <w:right w:val="nil"/>
            </w:tcBorders>
          </w:tcPr>
          <w:p w14:paraId="08866CE1" w14:textId="77777777" w:rsidR="008210B6" w:rsidRDefault="008210B6" w:rsidP="003A15C2">
            <w:pPr>
              <w:pStyle w:val="Heading1"/>
            </w:pPr>
            <w:r>
              <w:t>Section 1 – Summary and Recommendations</w:t>
            </w:r>
          </w:p>
          <w:p w14:paraId="280BB6E0" w14:textId="77777777" w:rsidR="008210B6" w:rsidRDefault="008210B6" w:rsidP="003A15C2"/>
        </w:tc>
      </w:tr>
      <w:tr w:rsidR="008210B6" w14:paraId="216BF1C3" w14:textId="77777777" w:rsidTr="0082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1" w:type="dxa"/>
        </w:trPr>
        <w:tc>
          <w:tcPr>
            <w:tcW w:w="8339" w:type="dxa"/>
            <w:gridSpan w:val="2"/>
          </w:tcPr>
          <w:p w14:paraId="3DF3E535" w14:textId="77777777" w:rsidR="008210B6" w:rsidRDefault="008210B6" w:rsidP="003A15C2">
            <w:r w:rsidRPr="00E6369A">
              <w:t xml:space="preserve">This report sets out the Council’s revenue and capital monitoring position as at Quarter </w:t>
            </w:r>
            <w:r>
              <w:t>3</w:t>
            </w:r>
            <w:r w:rsidRPr="00E6369A">
              <w:t xml:space="preserve"> 2016/17 (3</w:t>
            </w:r>
            <w:r>
              <w:t>1</w:t>
            </w:r>
            <w:r w:rsidRPr="00E6369A">
              <w:t xml:space="preserve"> </w:t>
            </w:r>
            <w:r>
              <w:t>December</w:t>
            </w:r>
            <w:r w:rsidRPr="00E6369A">
              <w:t xml:space="preserve"> 2016).</w:t>
            </w:r>
          </w:p>
          <w:p w14:paraId="50ACF20D" w14:textId="77777777" w:rsidR="008210B6" w:rsidRDefault="008210B6" w:rsidP="003A15C2">
            <w:pPr>
              <w:pStyle w:val="Heading2"/>
            </w:pPr>
          </w:p>
          <w:p w14:paraId="15CEC7B9" w14:textId="77777777" w:rsidR="008210B6" w:rsidRPr="00E6369A" w:rsidRDefault="008210B6" w:rsidP="003A15C2">
            <w:pPr>
              <w:pStyle w:val="Heading2"/>
            </w:pPr>
            <w:r w:rsidRPr="00E6369A">
              <w:t xml:space="preserve">Recommendations: </w:t>
            </w:r>
          </w:p>
          <w:p w14:paraId="38D0C65F" w14:textId="77777777" w:rsidR="008210B6" w:rsidRPr="00E6369A" w:rsidRDefault="008210B6" w:rsidP="003A15C2"/>
          <w:p w14:paraId="6DCB0AD8" w14:textId="5A6EC411" w:rsidR="008210B6" w:rsidRPr="00E6369A" w:rsidRDefault="008210B6" w:rsidP="003A15C2">
            <w:pPr>
              <w:pStyle w:val="ListParagraph"/>
              <w:numPr>
                <w:ilvl w:val="0"/>
                <w:numId w:val="1"/>
              </w:numPr>
            </w:pPr>
            <w:r w:rsidRPr="00E6369A">
              <w:t>That Cabinet note the revenue and capital forecast positions detailed in this report as at Quarter</w:t>
            </w:r>
            <w:r>
              <w:t xml:space="preserve"> 3</w:t>
            </w:r>
            <w:r w:rsidRPr="00E6369A">
              <w:t xml:space="preserve"> 2016/17.</w:t>
            </w:r>
          </w:p>
        </w:tc>
      </w:tr>
    </w:tbl>
    <w:p w14:paraId="02FDA38D" w14:textId="77777777" w:rsidR="008210B6" w:rsidRDefault="008210B6"/>
    <w:p w14:paraId="26BA7D39" w14:textId="77777777" w:rsidR="008210B6" w:rsidRDefault="008210B6">
      <w:pPr>
        <w:sectPr w:rsidR="008210B6" w:rsidSect="00760D1F">
          <w:footerReference w:type="default" r:id="rId14"/>
          <w:pgSz w:w="11909" w:h="16834" w:code="9"/>
          <w:pgMar w:top="720" w:right="1986" w:bottom="1152" w:left="1800" w:header="720" w:footer="432" w:gutter="0"/>
          <w:cols w:space="720"/>
          <w:titlePg/>
          <w:docGrid w:linePitch="360"/>
        </w:sectPr>
      </w:pPr>
    </w:p>
    <w:p w14:paraId="09CA8326" w14:textId="77777777" w:rsidR="008210B6" w:rsidRDefault="008210B6"/>
    <w:tbl>
      <w:tblPr>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9"/>
      </w:tblGrid>
      <w:tr w:rsidR="00333FAA" w14:paraId="63D0B186" w14:textId="77777777" w:rsidTr="008210B6">
        <w:trPr>
          <w:trHeight w:val="5097"/>
        </w:trPr>
        <w:tc>
          <w:tcPr>
            <w:tcW w:w="8339" w:type="dxa"/>
          </w:tcPr>
          <w:p w14:paraId="66649DE9" w14:textId="77777777" w:rsidR="008210B6" w:rsidRDefault="008210B6" w:rsidP="008210B6">
            <w:pPr>
              <w:ind w:left="360"/>
            </w:pPr>
          </w:p>
          <w:p w14:paraId="31E0E661" w14:textId="7F4EB6DF" w:rsidR="0002252A" w:rsidRPr="00AF6ED8" w:rsidRDefault="0002252A" w:rsidP="0002252A">
            <w:pPr>
              <w:pStyle w:val="ListParagraph"/>
              <w:numPr>
                <w:ilvl w:val="0"/>
                <w:numId w:val="1"/>
              </w:numPr>
            </w:pPr>
            <w:r w:rsidRPr="00AF6ED8">
              <w:t>That C</w:t>
            </w:r>
            <w:r w:rsidR="00BA52A2" w:rsidRPr="00AF6ED8">
              <w:t xml:space="preserve">abinet approves </w:t>
            </w:r>
            <w:r w:rsidR="00FB408B" w:rsidRPr="00AF6ED8">
              <w:t xml:space="preserve">the </w:t>
            </w:r>
            <w:r w:rsidR="00BA52A2" w:rsidRPr="00AF6ED8">
              <w:t>bad debt</w:t>
            </w:r>
            <w:r w:rsidR="009F51B9" w:rsidRPr="00AF6ED8">
              <w:t xml:space="preserve"> write-</w:t>
            </w:r>
            <w:r w:rsidR="00615AE4" w:rsidRPr="00AF6ED8">
              <w:t>off</w:t>
            </w:r>
            <w:r w:rsidR="00FB408B" w:rsidRPr="00AF6ED8">
              <w:t>s</w:t>
            </w:r>
            <w:r w:rsidR="00615AE4" w:rsidRPr="00AF6ED8">
              <w:t xml:space="preserve"> within</w:t>
            </w:r>
            <w:r w:rsidR="00881710" w:rsidRPr="00AF6ED8">
              <w:t xml:space="preserve"> the Community Directorate and Housing Revenue Account as outlined</w:t>
            </w:r>
            <w:r w:rsidRPr="00AF6ED8">
              <w:t xml:space="preserve"> in paragraph</w:t>
            </w:r>
            <w:r w:rsidR="00881710" w:rsidRPr="00AF6ED8">
              <w:t>s 2.24 and 2.31</w:t>
            </w:r>
            <w:r w:rsidRPr="00AF6ED8">
              <w:t>.</w:t>
            </w:r>
          </w:p>
          <w:p w14:paraId="74668607" w14:textId="77777777" w:rsidR="0002252A" w:rsidRDefault="0002252A" w:rsidP="0002252A">
            <w:pPr>
              <w:pStyle w:val="ListParagraph"/>
            </w:pPr>
          </w:p>
          <w:p w14:paraId="7BAC348C" w14:textId="6146754D" w:rsidR="003E0DBB" w:rsidRDefault="003E0DBB" w:rsidP="00173DA5">
            <w:pPr>
              <w:pStyle w:val="ListParagraph"/>
              <w:numPr>
                <w:ilvl w:val="0"/>
                <w:numId w:val="1"/>
              </w:numPr>
            </w:pPr>
            <w:r w:rsidRPr="003E0DBB">
              <w:t>That Cabinet note the proposed reduction to the 2016/17 Capital Programme as outlined</w:t>
            </w:r>
            <w:r w:rsidR="00D57576">
              <w:t xml:space="preserve"> in paragraph</w:t>
            </w:r>
            <w:r w:rsidR="00FB408B">
              <w:t>s</w:t>
            </w:r>
            <w:r w:rsidR="00D57576">
              <w:t xml:space="preserve"> 3.21 and 3.22</w:t>
            </w:r>
          </w:p>
          <w:p w14:paraId="3B67A585" w14:textId="77777777" w:rsidR="00F82334" w:rsidRDefault="00F82334" w:rsidP="00F82334">
            <w:pPr>
              <w:pStyle w:val="ListParagraph"/>
            </w:pPr>
          </w:p>
          <w:p w14:paraId="4AC70F9D" w14:textId="7C532D3F" w:rsidR="00F82334" w:rsidRDefault="00F82334" w:rsidP="00173DA5">
            <w:pPr>
              <w:pStyle w:val="ListParagraph"/>
              <w:numPr>
                <w:ilvl w:val="0"/>
                <w:numId w:val="1"/>
              </w:numPr>
            </w:pPr>
            <w:r w:rsidRPr="00F82334">
              <w:t>In respect of S</w:t>
            </w:r>
            <w:r w:rsidR="00A31B6F">
              <w:t xml:space="preserve">chool </w:t>
            </w:r>
            <w:r w:rsidRPr="00F82334">
              <w:t>E</w:t>
            </w:r>
            <w:r w:rsidR="00A31B6F">
              <w:t xml:space="preserve">xpansion </w:t>
            </w:r>
            <w:r w:rsidRPr="00F82334">
              <w:t>P</w:t>
            </w:r>
            <w:r w:rsidR="00A31B6F">
              <w:t xml:space="preserve">rogramme </w:t>
            </w:r>
            <w:r w:rsidRPr="00F82334">
              <w:t>1&amp;2 Cabinet is requested to delegate authority to the Corporat</w:t>
            </w:r>
            <w:r w:rsidR="00A31B6F">
              <w:t>e Director</w:t>
            </w:r>
            <w:r w:rsidR="00565B27">
              <w:t xml:space="preserve"> People Services, following </w:t>
            </w:r>
            <w:r w:rsidRPr="00F82334">
              <w:t>consultation wi</w:t>
            </w:r>
            <w:r w:rsidR="00B96E41">
              <w:t>th the Leader of the Council</w:t>
            </w:r>
            <w:r w:rsidR="001446AF">
              <w:t xml:space="preserve">, </w:t>
            </w:r>
            <w:r w:rsidR="001446AF" w:rsidRPr="00F82334">
              <w:t>Portfolio</w:t>
            </w:r>
            <w:r w:rsidRPr="00F82334">
              <w:t xml:space="preserve"> Holder for Finance &amp; </w:t>
            </w:r>
            <w:r w:rsidR="001446AF" w:rsidRPr="00F82334">
              <w:t xml:space="preserve">Commercial </w:t>
            </w:r>
            <w:r w:rsidR="001446AF">
              <w:t>and</w:t>
            </w:r>
            <w:r w:rsidR="00B96E41">
              <w:t xml:space="preserve"> the Finance </w:t>
            </w:r>
            <w:r w:rsidR="006B1A1C">
              <w:t>Director (</w:t>
            </w:r>
            <w:r w:rsidR="00EE4D14">
              <w:t xml:space="preserve">section 151 officer) </w:t>
            </w:r>
            <w:r w:rsidRPr="00F82334">
              <w:t xml:space="preserve">to settle the final accounts with the contractor including to affect any </w:t>
            </w:r>
            <w:proofErr w:type="spellStart"/>
            <w:r w:rsidRPr="00F82334">
              <w:t>virements</w:t>
            </w:r>
            <w:proofErr w:type="spellEnd"/>
            <w:r w:rsidRPr="00F82334">
              <w:t xml:space="preserve"> required as a result of this decis</w:t>
            </w:r>
            <w:r w:rsidR="00A31B6F">
              <w:t>ion as set out in p</w:t>
            </w:r>
            <w:r w:rsidR="001446AF">
              <w:t>aragraph</w:t>
            </w:r>
            <w:r w:rsidR="00A31B6F">
              <w:t>s</w:t>
            </w:r>
            <w:r w:rsidR="001446AF">
              <w:t xml:space="preserve"> 3.3</w:t>
            </w:r>
            <w:r w:rsidR="00FB408B">
              <w:t>8</w:t>
            </w:r>
            <w:r w:rsidR="001446AF">
              <w:t xml:space="preserve"> and 3.3</w:t>
            </w:r>
            <w:r w:rsidR="00FB408B">
              <w:t>9</w:t>
            </w:r>
            <w:r>
              <w:t>.</w:t>
            </w:r>
          </w:p>
          <w:p w14:paraId="122CF40D" w14:textId="77777777" w:rsidR="00BA52A2" w:rsidRDefault="00BA52A2" w:rsidP="00BA52A2">
            <w:pPr>
              <w:pStyle w:val="ListParagraph"/>
            </w:pPr>
          </w:p>
          <w:p w14:paraId="79822E08" w14:textId="6D9F26EA" w:rsidR="00BA52A2" w:rsidRDefault="00E04578" w:rsidP="00173DA5">
            <w:pPr>
              <w:pStyle w:val="ListParagraph"/>
              <w:numPr>
                <w:ilvl w:val="0"/>
                <w:numId w:val="1"/>
              </w:numPr>
            </w:pPr>
            <w:r>
              <w:t>That Cabinet approves</w:t>
            </w:r>
            <w:r w:rsidR="00A31B6F">
              <w:t xml:space="preserve"> the</w:t>
            </w:r>
            <w:r>
              <w:t xml:space="preserve"> capital additions as set out in paragraph 3.45</w:t>
            </w:r>
          </w:p>
          <w:p w14:paraId="37A6EA90" w14:textId="77777777" w:rsidR="00785D40" w:rsidRDefault="00785D40" w:rsidP="00785D40">
            <w:pPr>
              <w:pStyle w:val="ListParagraph"/>
            </w:pPr>
          </w:p>
          <w:p w14:paraId="0673A1B3" w14:textId="77777777" w:rsidR="00FF509C" w:rsidRPr="00E6369A" w:rsidRDefault="00FF509C" w:rsidP="00FF509C">
            <w:r w:rsidRPr="00E6369A">
              <w:tab/>
            </w:r>
          </w:p>
          <w:p w14:paraId="1D0F13EA" w14:textId="77777777" w:rsidR="00FF509C" w:rsidRPr="00E6369A" w:rsidRDefault="00FF509C" w:rsidP="00FF509C">
            <w:pPr>
              <w:rPr>
                <w:b/>
                <w:sz w:val="28"/>
                <w:szCs w:val="28"/>
              </w:rPr>
            </w:pPr>
            <w:r w:rsidRPr="00E6369A">
              <w:rPr>
                <w:b/>
                <w:sz w:val="28"/>
                <w:szCs w:val="28"/>
              </w:rPr>
              <w:t>Reason:  (For recommendation )</w:t>
            </w:r>
          </w:p>
          <w:p w14:paraId="667BC136" w14:textId="3B46D395" w:rsidR="00333FAA" w:rsidRDefault="00FF509C" w:rsidP="00FF509C">
            <w:r w:rsidRPr="00E6369A">
              <w:t>To report the 201</w:t>
            </w:r>
            <w:r w:rsidR="00CF68B3" w:rsidRPr="00E6369A">
              <w:t>6</w:t>
            </w:r>
            <w:r w:rsidRPr="00E6369A">
              <w:t>/1</w:t>
            </w:r>
            <w:r w:rsidR="00CF68B3" w:rsidRPr="00E6369A">
              <w:t>7</w:t>
            </w:r>
            <w:r w:rsidRPr="00E6369A">
              <w:t xml:space="preserve"> forecast financial position as at 3</w:t>
            </w:r>
            <w:r w:rsidR="00C61CE7">
              <w:t>1</w:t>
            </w:r>
            <w:r w:rsidR="009F2E4F">
              <w:t xml:space="preserve"> </w:t>
            </w:r>
            <w:r w:rsidR="00C61CE7">
              <w:t>Dec</w:t>
            </w:r>
            <w:r w:rsidR="00F84DDA">
              <w:t>ember</w:t>
            </w:r>
            <w:r w:rsidR="008009C5" w:rsidRPr="00E6369A">
              <w:t xml:space="preserve"> 2016</w:t>
            </w:r>
            <w:r w:rsidR="0096570D" w:rsidRPr="00E6369A">
              <w:t xml:space="preserve"> </w:t>
            </w:r>
            <w:r w:rsidR="0096570D" w:rsidRPr="003E0DBB">
              <w:t>and to seek approval for budget adjustments which re</w:t>
            </w:r>
            <w:r w:rsidR="00953298" w:rsidRPr="003E0DBB">
              <w:t>quire Cabinet approval in accordance with</w:t>
            </w:r>
            <w:r w:rsidR="0096570D" w:rsidRPr="003E0DBB">
              <w:t xml:space="preserve"> Financial Regulations.</w:t>
            </w:r>
          </w:p>
          <w:p w14:paraId="34B02037" w14:textId="77777777" w:rsidR="00333FAA" w:rsidRDefault="00333FAA" w:rsidP="00A53B04">
            <w:pPr>
              <w:jc w:val="both"/>
              <w:rPr>
                <w:rFonts w:cs="Arial"/>
              </w:rPr>
            </w:pPr>
          </w:p>
        </w:tc>
      </w:tr>
    </w:tbl>
    <w:p w14:paraId="58374FD3" w14:textId="77777777" w:rsidR="00F9680A" w:rsidRDefault="00F9680A" w:rsidP="00741AEB">
      <w:pPr>
        <w:pStyle w:val="Heading1"/>
      </w:pPr>
    </w:p>
    <w:p w14:paraId="5CFE2BF1" w14:textId="77777777" w:rsidR="00741AEB" w:rsidRDefault="00741AEB" w:rsidP="00741AEB">
      <w:pPr>
        <w:pStyle w:val="Heading1"/>
      </w:pPr>
      <w:r w:rsidRPr="006B1DE1">
        <w:t>Section 2 – Report</w:t>
      </w:r>
    </w:p>
    <w:p w14:paraId="1DE891AC" w14:textId="77777777" w:rsidR="004F7602" w:rsidRDefault="004F7602" w:rsidP="00AF1127"/>
    <w:p w14:paraId="7E293425" w14:textId="77777777" w:rsidR="00D258AC" w:rsidRPr="00835EA0" w:rsidRDefault="00FA5D52" w:rsidP="00D73C5B">
      <w:pPr>
        <w:pStyle w:val="ListParagraph"/>
        <w:keepNext/>
        <w:numPr>
          <w:ilvl w:val="1"/>
          <w:numId w:val="5"/>
        </w:numPr>
        <w:spacing w:after="240"/>
        <w:ind w:left="709" w:hanging="709"/>
        <w:outlineLvl w:val="1"/>
        <w:rPr>
          <w:rFonts w:cs="Arial"/>
          <w:b/>
          <w:bCs/>
          <w:kern w:val="32"/>
          <w:sz w:val="28"/>
          <w:szCs w:val="28"/>
          <w:u w:val="single"/>
        </w:rPr>
      </w:pPr>
      <w:r w:rsidRPr="00835EA0">
        <w:rPr>
          <w:rFonts w:cs="Arial"/>
          <w:b/>
          <w:bCs/>
          <w:kern w:val="32"/>
          <w:sz w:val="28"/>
          <w:szCs w:val="28"/>
          <w:u w:val="single"/>
        </w:rPr>
        <w:t>INTRODUCTION</w:t>
      </w:r>
    </w:p>
    <w:p w14:paraId="7E45F61A" w14:textId="3ABAF4E7" w:rsidR="00953298" w:rsidRDefault="00FA5D52" w:rsidP="00FA683C">
      <w:pPr>
        <w:pStyle w:val="ListParagraph"/>
        <w:numPr>
          <w:ilvl w:val="2"/>
          <w:numId w:val="29"/>
        </w:numPr>
        <w:spacing w:after="120"/>
        <w:jc w:val="both"/>
      </w:pPr>
      <w:r w:rsidRPr="00D258AC">
        <w:t>The net forecast position</w:t>
      </w:r>
      <w:r w:rsidR="0041077E" w:rsidRPr="00D258AC">
        <w:t xml:space="preserve"> at Quarter </w:t>
      </w:r>
      <w:r w:rsidR="00C61CE7">
        <w:t>3</w:t>
      </w:r>
      <w:r w:rsidR="0041077E" w:rsidRPr="00D258AC">
        <w:t xml:space="preserve"> on </w:t>
      </w:r>
      <w:r w:rsidR="004F7602" w:rsidRPr="00D258AC">
        <w:t>r</w:t>
      </w:r>
      <w:r w:rsidR="00E621F0">
        <w:t>evenue is</w:t>
      </w:r>
      <w:r w:rsidR="0041077E" w:rsidRPr="00D258AC">
        <w:t xml:space="preserve"> </w:t>
      </w:r>
      <w:r w:rsidR="00D52D46" w:rsidRPr="00D258AC">
        <w:t>an</w:t>
      </w:r>
      <w:r w:rsidR="0041077E" w:rsidRPr="00D258AC">
        <w:t xml:space="preserve"> </w:t>
      </w:r>
      <w:r w:rsidR="00B54070" w:rsidRPr="00D258AC">
        <w:t xml:space="preserve">estimated pressure </w:t>
      </w:r>
      <w:r w:rsidR="00F0774E" w:rsidRPr="00D258AC">
        <w:t>of</w:t>
      </w:r>
      <w:r w:rsidR="00B54070" w:rsidRPr="00D258AC">
        <w:t xml:space="preserve"> </w:t>
      </w:r>
      <w:r w:rsidR="00F0774E" w:rsidRPr="00D258AC">
        <w:t>£</w:t>
      </w:r>
      <w:r w:rsidR="00095A1A">
        <w:t>9.816</w:t>
      </w:r>
      <w:r w:rsidR="00972F70" w:rsidRPr="00D258AC">
        <w:t xml:space="preserve">m </w:t>
      </w:r>
      <w:r w:rsidR="0041077E" w:rsidRPr="00D258AC">
        <w:t xml:space="preserve">on </w:t>
      </w:r>
      <w:r w:rsidR="004F7602" w:rsidRPr="00D258AC">
        <w:t>d</w:t>
      </w:r>
      <w:r w:rsidR="0041077E" w:rsidRPr="00D258AC">
        <w:t>irectorate budgets</w:t>
      </w:r>
      <w:r w:rsidR="00D645B0" w:rsidRPr="00D258AC">
        <w:t>, after mitigating actions of £</w:t>
      </w:r>
      <w:r w:rsidR="00E621F0">
        <w:t>2.595</w:t>
      </w:r>
      <w:r w:rsidR="00D645B0" w:rsidRPr="00D258AC">
        <w:t>m have been allowed for</w:t>
      </w:r>
      <w:r w:rsidR="00354BAA" w:rsidRPr="00D258AC">
        <w:t xml:space="preserve">. </w:t>
      </w:r>
      <w:r w:rsidR="000F0621" w:rsidRPr="00D258AC">
        <w:t xml:space="preserve">This </w:t>
      </w:r>
      <w:r w:rsidR="0041077E" w:rsidRPr="00D258AC">
        <w:t xml:space="preserve">reduces to </w:t>
      </w:r>
      <w:r w:rsidR="00F0774E" w:rsidRPr="00D258AC">
        <w:t>£</w:t>
      </w:r>
      <w:r w:rsidR="00E621F0">
        <w:t>5.</w:t>
      </w:r>
      <w:r w:rsidR="00095A1A">
        <w:t>13</w:t>
      </w:r>
      <w:r w:rsidR="00E621F0">
        <w:t>4</w:t>
      </w:r>
      <w:r w:rsidR="00F0774E" w:rsidRPr="00D258AC">
        <w:t>m</w:t>
      </w:r>
      <w:r w:rsidR="00935F3A" w:rsidRPr="00D258AC">
        <w:t xml:space="preserve"> after</w:t>
      </w:r>
      <w:r w:rsidR="00A55425" w:rsidRPr="00D258AC">
        <w:t xml:space="preserve"> the</w:t>
      </w:r>
      <w:r w:rsidR="00935F3A" w:rsidRPr="00D258AC">
        <w:t xml:space="preserve"> assumed use of </w:t>
      </w:r>
      <w:r w:rsidR="004F7602" w:rsidRPr="00D258AC">
        <w:t xml:space="preserve">the central </w:t>
      </w:r>
      <w:r w:rsidR="00F0774E" w:rsidRPr="00D258AC">
        <w:t xml:space="preserve">contingency budget </w:t>
      </w:r>
      <w:r w:rsidR="002A2E47">
        <w:t>(</w:t>
      </w:r>
      <w:r w:rsidR="00AC2BAA">
        <w:t>£1.329</w:t>
      </w:r>
      <w:r w:rsidR="00F0774E" w:rsidRPr="00D258AC">
        <w:t>m</w:t>
      </w:r>
      <w:r w:rsidR="00F84DDA">
        <w:t>), the use of the</w:t>
      </w:r>
      <w:r w:rsidR="00A55425" w:rsidRPr="00D258AC">
        <w:t xml:space="preserve"> </w:t>
      </w:r>
      <w:r w:rsidR="00D74F9F" w:rsidRPr="00D258AC">
        <w:t>Welfare reform</w:t>
      </w:r>
      <w:r w:rsidR="00B54070" w:rsidRPr="00D258AC">
        <w:t xml:space="preserve"> </w:t>
      </w:r>
      <w:r w:rsidR="00F84DDA">
        <w:t xml:space="preserve">and Homelessness </w:t>
      </w:r>
      <w:r w:rsidR="00B54070" w:rsidRPr="00D258AC">
        <w:t>r</w:t>
      </w:r>
      <w:r w:rsidR="00D74F9F" w:rsidRPr="00D258AC">
        <w:t>eserve</w:t>
      </w:r>
      <w:r w:rsidR="00E46742">
        <w:t>s</w:t>
      </w:r>
      <w:r w:rsidR="00F84DDA">
        <w:t xml:space="preserve"> (£2</w:t>
      </w:r>
      <w:r w:rsidR="004F7602" w:rsidRPr="00D258AC">
        <w:t>m)</w:t>
      </w:r>
      <w:r w:rsidR="00577A02" w:rsidRPr="00D258AC">
        <w:t xml:space="preserve"> </w:t>
      </w:r>
      <w:r w:rsidR="000713BD" w:rsidRPr="00D258AC">
        <w:t>and</w:t>
      </w:r>
      <w:r w:rsidR="000713BD">
        <w:t xml:space="preserve"> an under</w:t>
      </w:r>
      <w:r w:rsidR="004902A6">
        <w:t xml:space="preserve"> </w:t>
      </w:r>
      <w:r w:rsidR="000713BD">
        <w:t>spend</w:t>
      </w:r>
      <w:r w:rsidR="005B4870">
        <w:t xml:space="preserve"> against Corporate budget</w:t>
      </w:r>
      <w:r w:rsidR="00953298">
        <w:t>s</w:t>
      </w:r>
      <w:r w:rsidR="005B4870">
        <w:t xml:space="preserve"> o</w:t>
      </w:r>
      <w:r w:rsidR="00E621F0">
        <w:t>f</w:t>
      </w:r>
      <w:r w:rsidR="000713BD">
        <w:t xml:space="preserve"> (£1.353m</w:t>
      </w:r>
      <w:r w:rsidR="00E621F0">
        <w:t xml:space="preserve">). </w:t>
      </w:r>
      <w:r w:rsidR="00625D1B">
        <w:t>The £5.134</w:t>
      </w:r>
      <w:r w:rsidR="00E621F0" w:rsidRPr="00E621F0">
        <w:t>m position represents an increase in the outturn forecast position of £</w:t>
      </w:r>
      <w:r w:rsidR="00625D1B">
        <w:t>1.28</w:t>
      </w:r>
      <w:r w:rsidR="00E621F0">
        <w:t>5m</w:t>
      </w:r>
      <w:r w:rsidR="00E621F0" w:rsidRPr="00E621F0">
        <w:t xml:space="preserve"> since </w:t>
      </w:r>
      <w:r w:rsidR="00E621F0">
        <w:t>Quarter</w:t>
      </w:r>
      <w:r w:rsidR="00E621F0" w:rsidRPr="00E621F0">
        <w:t xml:space="preserve"> </w:t>
      </w:r>
      <w:r w:rsidR="00E621F0">
        <w:t>2.</w:t>
      </w:r>
      <w:r w:rsidR="00953298">
        <w:t xml:space="preserve"> </w:t>
      </w:r>
    </w:p>
    <w:p w14:paraId="75DA8EC7" w14:textId="1F706E22" w:rsidR="008D4ADA" w:rsidRPr="003E0DBB" w:rsidRDefault="008D4ADA" w:rsidP="00FA683C">
      <w:pPr>
        <w:pStyle w:val="ListParagraph"/>
        <w:numPr>
          <w:ilvl w:val="2"/>
          <w:numId w:val="26"/>
        </w:numPr>
        <w:tabs>
          <w:tab w:val="left" w:pos="7938"/>
        </w:tabs>
        <w:spacing w:after="120"/>
        <w:jc w:val="both"/>
      </w:pPr>
      <w:r w:rsidRPr="003E0DBB">
        <w:t xml:space="preserve">The capital programme is reporting </w:t>
      </w:r>
      <w:r w:rsidR="00953298" w:rsidRPr="003E0DBB">
        <w:t xml:space="preserve">a </w:t>
      </w:r>
      <w:r w:rsidR="005B4870" w:rsidRPr="003E0DBB">
        <w:t>forecast</w:t>
      </w:r>
      <w:r w:rsidR="006F382F" w:rsidRPr="003E0DBB">
        <w:t xml:space="preserve"> </w:t>
      </w:r>
      <w:r w:rsidR="00953298" w:rsidRPr="003E0DBB">
        <w:t xml:space="preserve">spend </w:t>
      </w:r>
      <w:r w:rsidR="00FB408B">
        <w:t>of £108.8</w:t>
      </w:r>
      <w:r w:rsidR="00274195">
        <w:t>57</w:t>
      </w:r>
      <w:r w:rsidR="003E0DBB" w:rsidRPr="003E0DBB">
        <w:t>m against a budget of £169.901</w:t>
      </w:r>
      <w:r w:rsidRPr="003E0DBB">
        <w:t>m.  This represe</w:t>
      </w:r>
      <w:r w:rsidR="003E0DBB" w:rsidRPr="003E0DBB">
        <w:t>nts a total forecast spend of 64</w:t>
      </w:r>
      <w:r w:rsidRPr="003E0DBB">
        <w:t>%. In terms of general fund capital</w:t>
      </w:r>
      <w:r w:rsidR="006F382F" w:rsidRPr="003E0DBB">
        <w:t>, there is a forecast of</w:t>
      </w:r>
      <w:r w:rsidR="00953298" w:rsidRPr="003E0DBB">
        <w:t xml:space="preserve"> spend</w:t>
      </w:r>
      <w:r w:rsidR="0066304B">
        <w:t xml:space="preserve"> </w:t>
      </w:r>
      <w:r w:rsidR="00A31B6F">
        <w:t xml:space="preserve">of </w:t>
      </w:r>
      <w:r w:rsidR="0066304B">
        <w:t>£94.8</w:t>
      </w:r>
      <w:r w:rsidR="00274195">
        <w:t>42</w:t>
      </w:r>
      <w:r w:rsidR="005B4870" w:rsidRPr="003E0DBB">
        <w:t xml:space="preserve">m </w:t>
      </w:r>
      <w:r w:rsidR="003E0DBB" w:rsidRPr="003E0DBB">
        <w:t>against a budget of £140.078</w:t>
      </w:r>
      <w:r w:rsidR="00953298" w:rsidRPr="003E0DBB">
        <w:t xml:space="preserve">m. </w:t>
      </w:r>
      <w:r w:rsidR="00E46742" w:rsidRPr="003E0DBB">
        <w:t>Of t</w:t>
      </w:r>
      <w:r w:rsidR="005B4870" w:rsidRPr="003E0DBB">
        <w:t xml:space="preserve">he </w:t>
      </w:r>
      <w:r w:rsidR="00953298" w:rsidRPr="003E0DBB">
        <w:t>va</w:t>
      </w:r>
      <w:r w:rsidR="003E0DBB" w:rsidRPr="003E0DBB">
        <w:t xml:space="preserve">riance of </w:t>
      </w:r>
      <w:r w:rsidR="00F82334">
        <w:t>(</w:t>
      </w:r>
      <w:r w:rsidR="0066304B">
        <w:t>£45.237</w:t>
      </w:r>
      <w:r w:rsidR="00953298" w:rsidRPr="003E0DBB">
        <w:t>m</w:t>
      </w:r>
      <w:r w:rsidR="00F82334">
        <w:t>)</w:t>
      </w:r>
      <w:r w:rsidR="00953298" w:rsidRPr="003E0DBB">
        <w:t>,</w:t>
      </w:r>
      <w:r w:rsidR="0066304B">
        <w:t xml:space="preserve"> £4</w:t>
      </w:r>
      <w:r w:rsidR="00FB408B">
        <w:t>5</w:t>
      </w:r>
      <w:r w:rsidR="0066304B">
        <w:t>.078</w:t>
      </w:r>
      <w:r w:rsidRPr="003E0DBB">
        <w:t>m is requested for slippage into 2017/18 and</w:t>
      </w:r>
      <w:r w:rsidR="00321915" w:rsidRPr="003E0DBB">
        <w:t xml:space="preserve"> </w:t>
      </w:r>
      <w:r w:rsidRPr="003E0DBB">
        <w:t>£</w:t>
      </w:r>
      <w:r w:rsidR="00A870EE">
        <w:t>0.159</w:t>
      </w:r>
      <w:r w:rsidR="006F382F" w:rsidRPr="003E0DBB">
        <w:t>m</w:t>
      </w:r>
      <w:r w:rsidRPr="003E0DBB">
        <w:t xml:space="preserve"> </w:t>
      </w:r>
      <w:r w:rsidR="00321915" w:rsidRPr="003E0DBB">
        <w:t>represent</w:t>
      </w:r>
      <w:r w:rsidR="005B4870" w:rsidRPr="003E0DBB">
        <w:t>s</w:t>
      </w:r>
      <w:r w:rsidR="00321915" w:rsidRPr="003E0DBB">
        <w:t xml:space="preserve"> </w:t>
      </w:r>
      <w:r w:rsidR="00A35188" w:rsidRPr="003E0DBB">
        <w:t>capital budget</w:t>
      </w:r>
      <w:r w:rsidR="00A31B6F">
        <w:t>s that are</w:t>
      </w:r>
      <w:r w:rsidR="00A35188" w:rsidRPr="003E0DBB">
        <w:t xml:space="preserve"> no longer require</w:t>
      </w:r>
      <w:r w:rsidR="005D1119" w:rsidRPr="003E0DBB">
        <w:t>d</w:t>
      </w:r>
      <w:r w:rsidR="00A35188" w:rsidRPr="003E0DBB">
        <w:t>.</w:t>
      </w:r>
      <w:r w:rsidRPr="003E0DBB">
        <w:t xml:space="preserve"> For the HR</w:t>
      </w:r>
      <w:r w:rsidR="00A870EE">
        <w:t xml:space="preserve">A, </w:t>
      </w:r>
      <w:r w:rsidR="00F82334">
        <w:t>variance</w:t>
      </w:r>
      <w:r w:rsidR="00A870EE">
        <w:t xml:space="preserve"> of </w:t>
      </w:r>
      <w:r w:rsidR="00F82334">
        <w:t>(</w:t>
      </w:r>
      <w:r w:rsidR="00A870EE">
        <w:t>£15.8</w:t>
      </w:r>
      <w:r w:rsidR="003E0DBB" w:rsidRPr="003E0DBB">
        <w:t>07</w:t>
      </w:r>
      <w:r w:rsidRPr="003E0DBB">
        <w:t>m</w:t>
      </w:r>
      <w:r w:rsidR="00F82334">
        <w:t>)</w:t>
      </w:r>
      <w:r w:rsidR="00A31B6F">
        <w:t xml:space="preserve"> has</w:t>
      </w:r>
      <w:r w:rsidRPr="003E0DBB">
        <w:t xml:space="preserve"> </w:t>
      </w:r>
      <w:r w:rsidR="00A870EE">
        <w:t xml:space="preserve">been </w:t>
      </w:r>
      <w:r w:rsidRPr="003E0DBB">
        <w:t>forecast</w:t>
      </w:r>
      <w:r w:rsidR="00A870EE">
        <w:t xml:space="preserve"> of which</w:t>
      </w:r>
      <w:r w:rsidR="00953298" w:rsidRPr="003E0DBB">
        <w:t xml:space="preserve"> </w:t>
      </w:r>
      <w:r w:rsidR="00A870EE">
        <w:t xml:space="preserve">£15.307m budget is </w:t>
      </w:r>
      <w:r w:rsidR="00953298" w:rsidRPr="003E0DBB">
        <w:t>reques</w:t>
      </w:r>
      <w:r w:rsidR="00A870EE">
        <w:t xml:space="preserve">ted to be carried forward </w:t>
      </w:r>
      <w:r w:rsidR="00E46742" w:rsidRPr="003E0DBB">
        <w:t>in</w:t>
      </w:r>
      <w:r w:rsidR="00A870EE">
        <w:t>to</w:t>
      </w:r>
      <w:r w:rsidR="00E46742" w:rsidRPr="003E0DBB">
        <w:t xml:space="preserve"> 2017</w:t>
      </w:r>
      <w:r w:rsidR="003E0DBB" w:rsidRPr="003E0DBB">
        <w:t>/18 and a budget of £0.500m is no longer required.</w:t>
      </w:r>
      <w:r w:rsidRPr="003E0DBB">
        <w:t xml:space="preserve"> </w:t>
      </w:r>
    </w:p>
    <w:p w14:paraId="5CA45217" w14:textId="4BB4AF39" w:rsidR="00E36ECB" w:rsidRPr="00E6369A" w:rsidRDefault="00953298" w:rsidP="00E836A2">
      <w:pPr>
        <w:spacing w:after="240"/>
      </w:pPr>
      <w:r>
        <w:t>(Please note</w:t>
      </w:r>
      <w:r w:rsidR="00D325FE">
        <w:t>,</w:t>
      </w:r>
      <w:r>
        <w:t xml:space="preserve"> </w:t>
      </w:r>
      <w:r w:rsidR="00D325FE">
        <w:t>all number in brackets relates to income/underspends)</w:t>
      </w:r>
    </w:p>
    <w:p w14:paraId="26EE287B" w14:textId="77777777" w:rsidR="00741AEB" w:rsidRDefault="00835EA0" w:rsidP="007D291B">
      <w:pPr>
        <w:keepNext/>
        <w:outlineLvl w:val="1"/>
        <w:rPr>
          <w:rFonts w:cs="Arial"/>
          <w:b/>
          <w:bCs/>
          <w:kern w:val="32"/>
          <w:sz w:val="28"/>
          <w:szCs w:val="28"/>
          <w:u w:val="single"/>
        </w:rPr>
      </w:pPr>
      <w:r>
        <w:rPr>
          <w:rFonts w:cs="Arial"/>
          <w:b/>
          <w:bCs/>
          <w:kern w:val="32"/>
          <w:sz w:val="28"/>
          <w:szCs w:val="28"/>
        </w:rPr>
        <w:lastRenderedPageBreak/>
        <w:t>2.</w:t>
      </w:r>
      <w:r w:rsidR="00797973" w:rsidRPr="00835EA0">
        <w:rPr>
          <w:rFonts w:cs="Arial"/>
          <w:b/>
          <w:bCs/>
          <w:kern w:val="32"/>
          <w:sz w:val="28"/>
          <w:szCs w:val="28"/>
        </w:rPr>
        <w:t xml:space="preserve">  </w:t>
      </w:r>
      <w:r w:rsidR="00741AEB" w:rsidRPr="00835EA0">
        <w:rPr>
          <w:rFonts w:cs="Arial"/>
          <w:b/>
          <w:bCs/>
          <w:kern w:val="32"/>
          <w:sz w:val="28"/>
          <w:szCs w:val="28"/>
          <w:u w:val="single"/>
        </w:rPr>
        <w:t>REVENUE MONITORING</w:t>
      </w:r>
    </w:p>
    <w:p w14:paraId="366A4BC4" w14:textId="77777777" w:rsidR="007D291B" w:rsidRPr="00835EA0" w:rsidRDefault="007D291B" w:rsidP="007D291B">
      <w:pPr>
        <w:keepNext/>
        <w:outlineLvl w:val="1"/>
        <w:rPr>
          <w:rFonts w:cs="Arial"/>
          <w:b/>
          <w:bCs/>
          <w:kern w:val="32"/>
          <w:sz w:val="28"/>
          <w:szCs w:val="28"/>
          <w:u w:val="single"/>
        </w:rPr>
      </w:pPr>
    </w:p>
    <w:p w14:paraId="621D2C0D" w14:textId="3AF3CF73" w:rsidR="00D258AC" w:rsidRPr="002B11DD" w:rsidRDefault="00D258AC" w:rsidP="00FA683C">
      <w:pPr>
        <w:pStyle w:val="ListParagraph"/>
        <w:numPr>
          <w:ilvl w:val="1"/>
          <w:numId w:val="6"/>
        </w:numPr>
        <w:ind w:left="709" w:hanging="709"/>
        <w:jc w:val="both"/>
      </w:pPr>
      <w:r w:rsidRPr="00D258AC">
        <w:rPr>
          <w:bCs/>
        </w:rPr>
        <w:t xml:space="preserve">It is crucial to </w:t>
      </w:r>
      <w:r w:rsidR="007D291B">
        <w:rPr>
          <w:bCs/>
        </w:rPr>
        <w:t>balance the 2016/17 budget whilst</w:t>
      </w:r>
      <w:r w:rsidRPr="00D258AC">
        <w:rPr>
          <w:bCs/>
        </w:rPr>
        <w:t xml:space="preserve"> doing everything </w:t>
      </w:r>
      <w:r w:rsidR="002E02D3">
        <w:rPr>
          <w:bCs/>
        </w:rPr>
        <w:t>possible</w:t>
      </w:r>
      <w:r w:rsidRPr="00D258AC">
        <w:rPr>
          <w:bCs/>
        </w:rPr>
        <w:t xml:space="preserve"> to protect frontline services. To achie</w:t>
      </w:r>
      <w:r w:rsidR="002E02D3">
        <w:rPr>
          <w:bCs/>
        </w:rPr>
        <w:t>ve this,</w:t>
      </w:r>
      <w:r w:rsidRPr="00D258AC">
        <w:rPr>
          <w:bCs/>
        </w:rPr>
        <w:t xml:space="preserve"> a plan </w:t>
      </w:r>
      <w:r w:rsidR="002E02D3">
        <w:rPr>
          <w:bCs/>
        </w:rPr>
        <w:t xml:space="preserve">is </w:t>
      </w:r>
      <w:r w:rsidR="00D325FE">
        <w:rPr>
          <w:bCs/>
        </w:rPr>
        <w:t xml:space="preserve">in </w:t>
      </w:r>
      <w:r w:rsidR="002E02D3">
        <w:rPr>
          <w:bCs/>
        </w:rPr>
        <w:t xml:space="preserve">place </w:t>
      </w:r>
      <w:r w:rsidRPr="00D258AC">
        <w:rPr>
          <w:bCs/>
        </w:rPr>
        <w:t>to be as lean and efficient as possible. Specifically, this include</w:t>
      </w:r>
      <w:r w:rsidR="00D325FE">
        <w:rPr>
          <w:bCs/>
        </w:rPr>
        <w:t>s</w:t>
      </w:r>
      <w:r w:rsidRPr="00D258AC">
        <w:rPr>
          <w:bCs/>
        </w:rPr>
        <w:t xml:space="preserve"> the implem</w:t>
      </w:r>
      <w:r w:rsidR="00D325FE">
        <w:rPr>
          <w:bCs/>
        </w:rPr>
        <w:t xml:space="preserve">entation of spending controls, </w:t>
      </w:r>
      <w:r w:rsidRPr="00D258AC">
        <w:rPr>
          <w:bCs/>
        </w:rPr>
        <w:t>review</w:t>
      </w:r>
      <w:r w:rsidR="00D325FE">
        <w:rPr>
          <w:bCs/>
        </w:rPr>
        <w:t>s</w:t>
      </w:r>
      <w:r w:rsidRPr="00D258AC">
        <w:rPr>
          <w:bCs/>
        </w:rPr>
        <w:t xml:space="preserve"> of non-essential spend, the improved use of assets, and</w:t>
      </w:r>
      <w:r w:rsidR="002E02D3">
        <w:rPr>
          <w:bCs/>
        </w:rPr>
        <w:t xml:space="preserve"> a</w:t>
      </w:r>
      <w:r w:rsidRPr="00D258AC">
        <w:rPr>
          <w:bCs/>
        </w:rPr>
        <w:t xml:space="preserve"> range of other efficiency and effectiveness initiatives</w:t>
      </w:r>
      <w:r>
        <w:rPr>
          <w:bCs/>
        </w:rPr>
        <w:t>.</w:t>
      </w:r>
    </w:p>
    <w:p w14:paraId="696F5EC4" w14:textId="77777777" w:rsidR="002B11DD" w:rsidRPr="00D258AC" w:rsidRDefault="002B11DD" w:rsidP="002B11DD">
      <w:pPr>
        <w:pStyle w:val="ListParagraph"/>
        <w:ind w:left="709" w:right="185"/>
        <w:jc w:val="both"/>
      </w:pPr>
    </w:p>
    <w:p w14:paraId="142FD18E" w14:textId="343EA2AE" w:rsidR="00262389" w:rsidRDefault="001B7156" w:rsidP="00F650D7">
      <w:pPr>
        <w:pStyle w:val="ListParagraph"/>
        <w:numPr>
          <w:ilvl w:val="1"/>
          <w:numId w:val="6"/>
        </w:numPr>
        <w:ind w:right="185" w:hanging="831"/>
        <w:jc w:val="both"/>
      </w:pPr>
      <w:r>
        <w:t xml:space="preserve">A summary of the </w:t>
      </w:r>
      <w:r w:rsidR="00D97004">
        <w:t>quarter 3</w:t>
      </w:r>
      <w:r w:rsidR="00B54070">
        <w:t xml:space="preserve"> monitoring is shown in </w:t>
      </w:r>
      <w:r w:rsidR="00D325FE">
        <w:t xml:space="preserve"> </w:t>
      </w:r>
      <w:r w:rsidR="00B54070">
        <w:t>table</w:t>
      </w:r>
      <w:r w:rsidR="00A31B6F">
        <w:t xml:space="preserve"> 1</w:t>
      </w:r>
      <w:r w:rsidR="00B54070">
        <w:t xml:space="preserve"> below:</w:t>
      </w:r>
    </w:p>
    <w:p w14:paraId="08775D40" w14:textId="77777777" w:rsidR="007D291B" w:rsidRDefault="007D291B" w:rsidP="007D291B">
      <w:pPr>
        <w:pStyle w:val="ListParagraph"/>
        <w:ind w:left="689"/>
        <w:jc w:val="both"/>
      </w:pPr>
    </w:p>
    <w:p w14:paraId="1ADCF8D2" w14:textId="211DD37C" w:rsidR="00741AEB" w:rsidRDefault="00741AEB" w:rsidP="00BB7370">
      <w:pPr>
        <w:rPr>
          <w:rFonts w:cs="Arial"/>
          <w:b/>
          <w:u w:val="single"/>
        </w:rPr>
      </w:pPr>
      <w:r w:rsidRPr="006B1DE1">
        <w:rPr>
          <w:rFonts w:cs="Arial"/>
          <w:b/>
          <w:u w:val="single"/>
        </w:rPr>
        <w:t xml:space="preserve">Table 1: Revenue Monitoring – Quarter </w:t>
      </w:r>
      <w:r w:rsidR="00D97004">
        <w:rPr>
          <w:rFonts w:cs="Arial"/>
          <w:b/>
          <w:u w:val="single"/>
        </w:rPr>
        <w:t>3</w:t>
      </w:r>
      <w:r w:rsidRPr="006B1DE1">
        <w:rPr>
          <w:rFonts w:cs="Arial"/>
          <w:b/>
          <w:u w:val="single"/>
        </w:rPr>
        <w:t xml:space="preserve"> 201</w:t>
      </w:r>
      <w:r w:rsidR="00CB3146">
        <w:rPr>
          <w:rFonts w:cs="Arial"/>
          <w:b/>
          <w:u w:val="single"/>
        </w:rPr>
        <w:t>6</w:t>
      </w:r>
      <w:r w:rsidRPr="006B1DE1">
        <w:rPr>
          <w:rFonts w:cs="Arial"/>
          <w:b/>
          <w:u w:val="single"/>
        </w:rPr>
        <w:t>/1</w:t>
      </w:r>
      <w:r w:rsidR="00CB3146">
        <w:rPr>
          <w:rFonts w:cs="Arial"/>
          <w:b/>
          <w:u w:val="single"/>
        </w:rPr>
        <w:t>7</w:t>
      </w:r>
      <w:r w:rsidRPr="006B1DE1">
        <w:rPr>
          <w:rFonts w:cs="Arial"/>
          <w:b/>
          <w:u w:val="single"/>
        </w:rPr>
        <w:t xml:space="preserve"> </w:t>
      </w:r>
    </w:p>
    <w:p w14:paraId="152DF19E" w14:textId="77777777" w:rsidR="00D97004" w:rsidRDefault="00D97004" w:rsidP="00BB7370">
      <w:pPr>
        <w:rPr>
          <w:rFonts w:cs="Arial"/>
          <w:b/>
          <w:u w:val="single"/>
        </w:rPr>
      </w:pPr>
    </w:p>
    <w:p w14:paraId="2A423EBF" w14:textId="0FA5FDB9" w:rsidR="00D164AF" w:rsidRDefault="00374868" w:rsidP="00BB7370">
      <w:pPr>
        <w:rPr>
          <w:rFonts w:cs="Arial"/>
          <w:b/>
          <w:u w:val="single"/>
        </w:rPr>
      </w:pPr>
      <w:r w:rsidRPr="00374868">
        <w:rPr>
          <w:noProof/>
          <w:lang w:eastAsia="en-GB"/>
        </w:rPr>
        <w:drawing>
          <wp:inline distT="0" distB="0" distL="0" distR="0" wp14:anchorId="1DE08772" wp14:editId="4E7438E1">
            <wp:extent cx="5269116" cy="458105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409" cy="4579570"/>
                    </a:xfrm>
                    <a:prstGeom prst="rect">
                      <a:avLst/>
                    </a:prstGeom>
                    <a:noFill/>
                    <a:ln>
                      <a:noFill/>
                    </a:ln>
                  </pic:spPr>
                </pic:pic>
              </a:graphicData>
            </a:graphic>
          </wp:inline>
        </w:drawing>
      </w:r>
    </w:p>
    <w:p w14:paraId="4A6DF08A" w14:textId="4A44DF1E" w:rsidR="00F63C15" w:rsidRDefault="00F63C15" w:rsidP="00BB7370">
      <w:pPr>
        <w:rPr>
          <w:rFonts w:cs="Arial"/>
          <w:b/>
          <w:u w:val="single"/>
        </w:rPr>
      </w:pPr>
    </w:p>
    <w:p w14:paraId="403B8461" w14:textId="7C001F82" w:rsidR="00AD2795" w:rsidRPr="00C31DDB" w:rsidRDefault="00C31DDB" w:rsidP="005E553E">
      <w:pPr>
        <w:pStyle w:val="ListParagraph"/>
        <w:numPr>
          <w:ilvl w:val="1"/>
          <w:numId w:val="6"/>
        </w:numPr>
        <w:spacing w:after="240"/>
        <w:ind w:right="488" w:hanging="831"/>
        <w:jc w:val="both"/>
      </w:pPr>
      <w:r w:rsidRPr="00C31DDB">
        <w:t>In November 2016, a report was taken to Cabinet detailing the Property Disposal Programme 2016/17.  The report stated that the capital receipts generated from disposals would be applied under the new capital receipt flexibilities granted to Local Authorities by central government to support on-going revenue savings, transformation costs and long terms cost reductions.  As the authority has a MTFS including such initiatives, appropriate costs incurred will be applied to the capital receipts.</w:t>
      </w:r>
    </w:p>
    <w:p w14:paraId="7C3169AB" w14:textId="77777777" w:rsidR="00321F56" w:rsidRDefault="00321F56" w:rsidP="00C6530C">
      <w:pPr>
        <w:spacing w:after="240"/>
        <w:ind w:right="488"/>
        <w:jc w:val="both"/>
        <w:rPr>
          <w:b/>
          <w:u w:val="single"/>
        </w:rPr>
      </w:pPr>
    </w:p>
    <w:p w14:paraId="30E72BD0" w14:textId="77777777" w:rsidR="008210B6" w:rsidRDefault="008210B6">
      <w:pPr>
        <w:rPr>
          <w:b/>
          <w:u w:val="single"/>
        </w:rPr>
      </w:pPr>
      <w:r>
        <w:rPr>
          <w:b/>
          <w:u w:val="single"/>
        </w:rPr>
        <w:br w:type="page"/>
      </w:r>
    </w:p>
    <w:p w14:paraId="48192011" w14:textId="1D145AAC" w:rsidR="00850216" w:rsidRDefault="00741AEB" w:rsidP="00C6530C">
      <w:pPr>
        <w:spacing w:after="240"/>
        <w:ind w:right="488"/>
        <w:jc w:val="both"/>
        <w:rPr>
          <w:b/>
          <w:u w:val="single"/>
        </w:rPr>
      </w:pPr>
      <w:r w:rsidRPr="008A73C4">
        <w:rPr>
          <w:b/>
          <w:u w:val="single"/>
        </w:rPr>
        <w:lastRenderedPageBreak/>
        <w:t>R</w:t>
      </w:r>
      <w:r w:rsidR="008D4ADA">
        <w:rPr>
          <w:b/>
          <w:u w:val="single"/>
        </w:rPr>
        <w:t>esources &amp; Commercial</w:t>
      </w:r>
    </w:p>
    <w:p w14:paraId="1618652B" w14:textId="7674FCB6" w:rsidR="001347B9" w:rsidRPr="00A533C8" w:rsidRDefault="001347B9" w:rsidP="00374868">
      <w:pPr>
        <w:spacing w:after="240"/>
        <w:ind w:right="488"/>
        <w:jc w:val="both"/>
        <w:rPr>
          <w:b/>
          <w:u w:val="single"/>
        </w:rPr>
      </w:pPr>
      <w:r w:rsidRPr="00A533C8">
        <w:rPr>
          <w:b/>
          <w:u w:val="single"/>
        </w:rPr>
        <w:t>Table 2 Resources &amp; Commercial</w:t>
      </w:r>
      <w:r w:rsidR="00A533C8" w:rsidRPr="00A533C8">
        <w:rPr>
          <w:b/>
          <w:u w:val="single"/>
        </w:rPr>
        <w:t xml:space="preserve"> Variance</w:t>
      </w:r>
      <w:r w:rsidRPr="00A533C8">
        <w:rPr>
          <w:b/>
          <w:u w:val="single"/>
        </w:rPr>
        <w:t xml:space="preserve"> </w:t>
      </w:r>
    </w:p>
    <w:tbl>
      <w:tblPr>
        <w:tblStyle w:val="TableGrid"/>
        <w:tblW w:w="0" w:type="auto"/>
        <w:tblLook w:val="04A0" w:firstRow="1" w:lastRow="0" w:firstColumn="1" w:lastColumn="0" w:noHBand="0" w:noVBand="1"/>
      </w:tblPr>
      <w:tblGrid>
        <w:gridCol w:w="2020"/>
        <w:gridCol w:w="1460"/>
        <w:gridCol w:w="2140"/>
        <w:gridCol w:w="2500"/>
      </w:tblGrid>
      <w:tr w:rsidR="004902A6" w:rsidRPr="004902A6" w14:paraId="619F5E12" w14:textId="77777777" w:rsidTr="004902A6">
        <w:trPr>
          <w:trHeight w:val="570"/>
        </w:trPr>
        <w:tc>
          <w:tcPr>
            <w:tcW w:w="2020" w:type="dxa"/>
            <w:noWrap/>
            <w:hideMark/>
          </w:tcPr>
          <w:p w14:paraId="6B5AE871" w14:textId="77777777" w:rsidR="004902A6" w:rsidRPr="004902A6" w:rsidRDefault="004902A6">
            <w:r w:rsidRPr="004902A6">
              <w:t> </w:t>
            </w:r>
          </w:p>
        </w:tc>
        <w:tc>
          <w:tcPr>
            <w:tcW w:w="1460" w:type="dxa"/>
            <w:hideMark/>
          </w:tcPr>
          <w:p w14:paraId="19942A12" w14:textId="77777777" w:rsidR="004902A6" w:rsidRPr="004902A6" w:rsidRDefault="004902A6">
            <w:r w:rsidRPr="004902A6">
              <w:t>Quarter 3 Variance</w:t>
            </w:r>
          </w:p>
        </w:tc>
        <w:tc>
          <w:tcPr>
            <w:tcW w:w="2140" w:type="dxa"/>
            <w:hideMark/>
          </w:tcPr>
          <w:p w14:paraId="641EA11F" w14:textId="77777777" w:rsidR="004902A6" w:rsidRPr="004902A6" w:rsidRDefault="004902A6">
            <w:r w:rsidRPr="004902A6">
              <w:t>Quarter 2 variance</w:t>
            </w:r>
          </w:p>
        </w:tc>
        <w:tc>
          <w:tcPr>
            <w:tcW w:w="2500" w:type="dxa"/>
            <w:hideMark/>
          </w:tcPr>
          <w:p w14:paraId="0617FF07" w14:textId="77777777" w:rsidR="004902A6" w:rsidRPr="004902A6" w:rsidRDefault="004902A6">
            <w:r w:rsidRPr="004902A6">
              <w:t>Movement between Quarter 3 and Quarter 2</w:t>
            </w:r>
          </w:p>
        </w:tc>
      </w:tr>
      <w:tr w:rsidR="004902A6" w:rsidRPr="004902A6" w14:paraId="32AB0CCF" w14:textId="77777777" w:rsidTr="004902A6">
        <w:trPr>
          <w:trHeight w:val="300"/>
        </w:trPr>
        <w:tc>
          <w:tcPr>
            <w:tcW w:w="2020" w:type="dxa"/>
            <w:noWrap/>
            <w:hideMark/>
          </w:tcPr>
          <w:p w14:paraId="39E8D106" w14:textId="77777777" w:rsidR="004902A6" w:rsidRPr="004902A6" w:rsidRDefault="004902A6">
            <w:r w:rsidRPr="004902A6">
              <w:t> </w:t>
            </w:r>
          </w:p>
        </w:tc>
        <w:tc>
          <w:tcPr>
            <w:tcW w:w="1460" w:type="dxa"/>
            <w:hideMark/>
          </w:tcPr>
          <w:p w14:paraId="33A7B004" w14:textId="77777777" w:rsidR="004902A6" w:rsidRPr="004902A6" w:rsidRDefault="004902A6">
            <w:r w:rsidRPr="004902A6">
              <w:t>£'000</w:t>
            </w:r>
          </w:p>
        </w:tc>
        <w:tc>
          <w:tcPr>
            <w:tcW w:w="2140" w:type="dxa"/>
            <w:hideMark/>
          </w:tcPr>
          <w:p w14:paraId="43186551" w14:textId="77777777" w:rsidR="004902A6" w:rsidRPr="004902A6" w:rsidRDefault="004902A6">
            <w:r w:rsidRPr="004902A6">
              <w:t>£'000</w:t>
            </w:r>
          </w:p>
        </w:tc>
        <w:tc>
          <w:tcPr>
            <w:tcW w:w="2500" w:type="dxa"/>
            <w:hideMark/>
          </w:tcPr>
          <w:p w14:paraId="19F3A26E" w14:textId="77777777" w:rsidR="004902A6" w:rsidRPr="004902A6" w:rsidRDefault="004902A6">
            <w:r w:rsidRPr="004902A6">
              <w:t>£'000</w:t>
            </w:r>
          </w:p>
        </w:tc>
      </w:tr>
      <w:tr w:rsidR="004902A6" w:rsidRPr="004902A6" w14:paraId="74BBBFFB" w14:textId="77777777" w:rsidTr="004902A6">
        <w:trPr>
          <w:trHeight w:val="300"/>
        </w:trPr>
        <w:tc>
          <w:tcPr>
            <w:tcW w:w="2020" w:type="dxa"/>
            <w:hideMark/>
          </w:tcPr>
          <w:p w14:paraId="6717398A" w14:textId="77777777" w:rsidR="004902A6" w:rsidRPr="004902A6" w:rsidRDefault="004902A6">
            <w:r w:rsidRPr="004902A6">
              <w:t>Resources</w:t>
            </w:r>
          </w:p>
        </w:tc>
        <w:tc>
          <w:tcPr>
            <w:tcW w:w="1460" w:type="dxa"/>
            <w:noWrap/>
            <w:hideMark/>
          </w:tcPr>
          <w:p w14:paraId="010742E5" w14:textId="77777777" w:rsidR="004902A6" w:rsidRPr="004902A6" w:rsidRDefault="004902A6" w:rsidP="004902A6">
            <w:r w:rsidRPr="004902A6">
              <w:t>(690)</w:t>
            </w:r>
          </w:p>
        </w:tc>
        <w:tc>
          <w:tcPr>
            <w:tcW w:w="2140" w:type="dxa"/>
            <w:noWrap/>
            <w:hideMark/>
          </w:tcPr>
          <w:p w14:paraId="0E9E03EA" w14:textId="77777777" w:rsidR="004902A6" w:rsidRPr="004902A6" w:rsidRDefault="004902A6" w:rsidP="004902A6">
            <w:r w:rsidRPr="004902A6">
              <w:t>(652)</w:t>
            </w:r>
          </w:p>
        </w:tc>
        <w:tc>
          <w:tcPr>
            <w:tcW w:w="2500" w:type="dxa"/>
            <w:noWrap/>
            <w:hideMark/>
          </w:tcPr>
          <w:p w14:paraId="5F08EEBD" w14:textId="77777777" w:rsidR="004902A6" w:rsidRPr="004902A6" w:rsidRDefault="004902A6" w:rsidP="004902A6">
            <w:r w:rsidRPr="004902A6">
              <w:t>(38)</w:t>
            </w:r>
          </w:p>
        </w:tc>
      </w:tr>
      <w:tr w:rsidR="004902A6" w:rsidRPr="004902A6" w14:paraId="79E7A8DF" w14:textId="77777777" w:rsidTr="004902A6">
        <w:trPr>
          <w:trHeight w:val="300"/>
        </w:trPr>
        <w:tc>
          <w:tcPr>
            <w:tcW w:w="2020" w:type="dxa"/>
            <w:hideMark/>
          </w:tcPr>
          <w:p w14:paraId="61C0F751" w14:textId="77777777" w:rsidR="004902A6" w:rsidRPr="004902A6" w:rsidRDefault="004902A6">
            <w:r w:rsidRPr="004902A6">
              <w:t>Business Support</w:t>
            </w:r>
          </w:p>
        </w:tc>
        <w:tc>
          <w:tcPr>
            <w:tcW w:w="1460" w:type="dxa"/>
            <w:noWrap/>
            <w:hideMark/>
          </w:tcPr>
          <w:p w14:paraId="42DCD749" w14:textId="77777777" w:rsidR="004902A6" w:rsidRPr="004902A6" w:rsidRDefault="004902A6" w:rsidP="004902A6">
            <w:r w:rsidRPr="004902A6">
              <w:t>891</w:t>
            </w:r>
          </w:p>
        </w:tc>
        <w:tc>
          <w:tcPr>
            <w:tcW w:w="2140" w:type="dxa"/>
            <w:noWrap/>
            <w:hideMark/>
          </w:tcPr>
          <w:p w14:paraId="2D3BE4D6" w14:textId="77777777" w:rsidR="004902A6" w:rsidRPr="004902A6" w:rsidRDefault="004902A6" w:rsidP="004902A6">
            <w:r w:rsidRPr="004902A6">
              <w:t>877</w:t>
            </w:r>
          </w:p>
        </w:tc>
        <w:tc>
          <w:tcPr>
            <w:tcW w:w="2500" w:type="dxa"/>
            <w:noWrap/>
            <w:hideMark/>
          </w:tcPr>
          <w:p w14:paraId="6DC6ACFF" w14:textId="77777777" w:rsidR="004902A6" w:rsidRPr="004902A6" w:rsidRDefault="004902A6" w:rsidP="004902A6">
            <w:r w:rsidRPr="004902A6">
              <w:t>14</w:t>
            </w:r>
          </w:p>
        </w:tc>
      </w:tr>
      <w:tr w:rsidR="004902A6" w:rsidRPr="004902A6" w14:paraId="6B7FF7C4" w14:textId="77777777" w:rsidTr="004902A6">
        <w:trPr>
          <w:trHeight w:val="300"/>
        </w:trPr>
        <w:tc>
          <w:tcPr>
            <w:tcW w:w="2020" w:type="dxa"/>
            <w:hideMark/>
          </w:tcPr>
          <w:p w14:paraId="474664FA" w14:textId="77777777" w:rsidR="004902A6" w:rsidRPr="004902A6" w:rsidRDefault="004902A6">
            <w:r w:rsidRPr="004902A6">
              <w:t>Total</w:t>
            </w:r>
          </w:p>
        </w:tc>
        <w:tc>
          <w:tcPr>
            <w:tcW w:w="1460" w:type="dxa"/>
            <w:noWrap/>
            <w:hideMark/>
          </w:tcPr>
          <w:p w14:paraId="729CAF4C" w14:textId="77777777" w:rsidR="004902A6" w:rsidRPr="004902A6" w:rsidRDefault="004902A6" w:rsidP="004902A6">
            <w:r w:rsidRPr="004902A6">
              <w:t>201</w:t>
            </w:r>
          </w:p>
        </w:tc>
        <w:tc>
          <w:tcPr>
            <w:tcW w:w="2140" w:type="dxa"/>
            <w:noWrap/>
            <w:hideMark/>
          </w:tcPr>
          <w:p w14:paraId="7FFDE6B3" w14:textId="77777777" w:rsidR="004902A6" w:rsidRPr="004902A6" w:rsidRDefault="004902A6" w:rsidP="004902A6">
            <w:r w:rsidRPr="004902A6">
              <w:t>225</w:t>
            </w:r>
          </w:p>
        </w:tc>
        <w:tc>
          <w:tcPr>
            <w:tcW w:w="2500" w:type="dxa"/>
            <w:noWrap/>
            <w:hideMark/>
          </w:tcPr>
          <w:p w14:paraId="4A88570A" w14:textId="77777777" w:rsidR="004902A6" w:rsidRPr="004902A6" w:rsidRDefault="004902A6" w:rsidP="004902A6">
            <w:r w:rsidRPr="004902A6">
              <w:t>(24)</w:t>
            </w:r>
          </w:p>
        </w:tc>
      </w:tr>
    </w:tbl>
    <w:p w14:paraId="67480463" w14:textId="56156AD1" w:rsidR="008203D5" w:rsidRDefault="00521915" w:rsidP="00D645B0">
      <w:r>
        <w:tab/>
      </w:r>
    </w:p>
    <w:p w14:paraId="18CE1864" w14:textId="6485A33D" w:rsidR="00DF7785" w:rsidRDefault="00F9680A" w:rsidP="00FA683C">
      <w:pPr>
        <w:pStyle w:val="ListParagraph"/>
        <w:numPr>
          <w:ilvl w:val="1"/>
          <w:numId w:val="6"/>
        </w:numPr>
        <w:spacing w:after="120"/>
        <w:ind w:left="709" w:hanging="709"/>
        <w:jc w:val="both"/>
        <w:rPr>
          <w:bCs/>
        </w:rPr>
      </w:pPr>
      <w:bookmarkStart w:id="1" w:name="_Toc372706214"/>
      <w:r w:rsidRPr="000A7F0F">
        <w:rPr>
          <w:bCs/>
        </w:rPr>
        <w:t xml:space="preserve"> </w:t>
      </w:r>
      <w:r w:rsidR="000F0252" w:rsidRPr="000A7F0F">
        <w:rPr>
          <w:bCs/>
        </w:rPr>
        <w:t xml:space="preserve">At quarter </w:t>
      </w:r>
      <w:r w:rsidR="00BF020B">
        <w:rPr>
          <w:bCs/>
        </w:rPr>
        <w:t>3</w:t>
      </w:r>
      <w:r w:rsidR="000F0252" w:rsidRPr="000A7F0F">
        <w:rPr>
          <w:bCs/>
        </w:rPr>
        <w:t>, Resources</w:t>
      </w:r>
      <w:r w:rsidR="00A31B6F">
        <w:rPr>
          <w:bCs/>
        </w:rPr>
        <w:t xml:space="preserve"> </w:t>
      </w:r>
      <w:r w:rsidR="000F0252" w:rsidRPr="000A7F0F">
        <w:rPr>
          <w:bCs/>
        </w:rPr>
        <w:t xml:space="preserve">is forecasting to </w:t>
      </w:r>
      <w:r w:rsidR="00DF7785" w:rsidRPr="000A7F0F">
        <w:rPr>
          <w:bCs/>
        </w:rPr>
        <w:t>underspend</w:t>
      </w:r>
      <w:r w:rsidR="00E409A4" w:rsidRPr="000A7F0F">
        <w:rPr>
          <w:bCs/>
        </w:rPr>
        <w:t xml:space="preserve"> b</w:t>
      </w:r>
      <w:r w:rsidR="000F0252" w:rsidRPr="000A7F0F">
        <w:rPr>
          <w:bCs/>
        </w:rPr>
        <w:t xml:space="preserve">y </w:t>
      </w:r>
      <w:r w:rsidR="00DF7785" w:rsidRPr="000A7F0F">
        <w:rPr>
          <w:bCs/>
        </w:rPr>
        <w:t>(</w:t>
      </w:r>
      <w:r w:rsidR="000F0252" w:rsidRPr="000A7F0F">
        <w:rPr>
          <w:bCs/>
        </w:rPr>
        <w:t>£</w:t>
      </w:r>
      <w:r w:rsidR="00095A1A">
        <w:rPr>
          <w:bCs/>
        </w:rPr>
        <w:t>690</w:t>
      </w:r>
      <w:r w:rsidR="00DF7785" w:rsidRPr="000A7F0F">
        <w:rPr>
          <w:bCs/>
        </w:rPr>
        <w:t>k) compare</w:t>
      </w:r>
      <w:r w:rsidR="00A31B6F">
        <w:rPr>
          <w:bCs/>
        </w:rPr>
        <w:t>d</w:t>
      </w:r>
      <w:r w:rsidR="00DF7785" w:rsidRPr="000A7F0F">
        <w:rPr>
          <w:bCs/>
        </w:rPr>
        <w:t xml:space="preserve"> to </w:t>
      </w:r>
      <w:r w:rsidR="00D325FE">
        <w:rPr>
          <w:bCs/>
        </w:rPr>
        <w:t xml:space="preserve">a </w:t>
      </w:r>
      <w:r w:rsidR="001347B9">
        <w:rPr>
          <w:bCs/>
        </w:rPr>
        <w:t xml:space="preserve">forecast underspend of </w:t>
      </w:r>
      <w:r w:rsidR="00BF020B">
        <w:rPr>
          <w:bCs/>
        </w:rPr>
        <w:t>(£652k) at Quarter 2</w:t>
      </w:r>
      <w:r w:rsidR="00DF7785" w:rsidRPr="000A7F0F">
        <w:rPr>
          <w:bCs/>
        </w:rPr>
        <w:t xml:space="preserve">, which is a favourable movement of </w:t>
      </w:r>
      <w:r w:rsidR="00BF020B">
        <w:rPr>
          <w:bCs/>
        </w:rPr>
        <w:t>(£</w:t>
      </w:r>
      <w:r w:rsidR="00095A1A">
        <w:rPr>
          <w:bCs/>
        </w:rPr>
        <w:t>24</w:t>
      </w:r>
      <w:r w:rsidR="00DF7785" w:rsidRPr="000A7F0F">
        <w:rPr>
          <w:bCs/>
        </w:rPr>
        <w:t>k).</w:t>
      </w:r>
    </w:p>
    <w:p w14:paraId="30DDD304" w14:textId="722D6DFB" w:rsidR="00F82334" w:rsidRPr="000A7F0F" w:rsidRDefault="00F82334" w:rsidP="00FA683C">
      <w:pPr>
        <w:pStyle w:val="ListParagraph"/>
        <w:numPr>
          <w:ilvl w:val="1"/>
          <w:numId w:val="6"/>
        </w:numPr>
        <w:spacing w:after="120"/>
        <w:ind w:left="709" w:hanging="709"/>
        <w:jc w:val="both"/>
        <w:rPr>
          <w:bCs/>
        </w:rPr>
      </w:pPr>
      <w:r>
        <w:rPr>
          <w:bCs/>
        </w:rPr>
        <w:t xml:space="preserve">The </w:t>
      </w:r>
      <w:r w:rsidR="00EC64D6">
        <w:rPr>
          <w:bCs/>
        </w:rPr>
        <w:t>underspend of (£690</w:t>
      </w:r>
      <w:r>
        <w:rPr>
          <w:bCs/>
        </w:rPr>
        <w:t>k</w:t>
      </w:r>
      <w:r w:rsidR="00EC64D6">
        <w:rPr>
          <w:bCs/>
        </w:rPr>
        <w:t>)</w:t>
      </w:r>
      <w:r>
        <w:rPr>
          <w:bCs/>
        </w:rPr>
        <w:t xml:space="preserve"> relates to the following key variations:</w:t>
      </w:r>
    </w:p>
    <w:p w14:paraId="404CF970" w14:textId="14A73615" w:rsidR="00981662" w:rsidRPr="004902A6" w:rsidRDefault="00981662" w:rsidP="00FA683C">
      <w:pPr>
        <w:pStyle w:val="ListParagraph"/>
        <w:numPr>
          <w:ilvl w:val="1"/>
          <w:numId w:val="6"/>
        </w:numPr>
        <w:spacing w:after="120"/>
        <w:ind w:left="709" w:hanging="709"/>
        <w:jc w:val="both"/>
        <w:rPr>
          <w:bCs/>
        </w:rPr>
      </w:pPr>
      <w:r w:rsidRPr="004902A6">
        <w:rPr>
          <w:bCs/>
        </w:rPr>
        <w:t>Customer Services is forecasting an under spend</w:t>
      </w:r>
      <w:r w:rsidR="004902A6">
        <w:rPr>
          <w:bCs/>
        </w:rPr>
        <w:t xml:space="preserve"> </w:t>
      </w:r>
      <w:r w:rsidRPr="004902A6">
        <w:rPr>
          <w:b/>
          <w:bCs/>
        </w:rPr>
        <w:t>(£674k)</w:t>
      </w:r>
      <w:r w:rsidRPr="004902A6">
        <w:rPr>
          <w:bCs/>
        </w:rPr>
        <w:t xml:space="preserve"> due to the </w:t>
      </w:r>
      <w:r w:rsidR="00A31B6F">
        <w:rPr>
          <w:bCs/>
        </w:rPr>
        <w:t xml:space="preserve">improved </w:t>
      </w:r>
      <w:r w:rsidRPr="004902A6">
        <w:rPr>
          <w:bCs/>
        </w:rPr>
        <w:t xml:space="preserve">recovery of </w:t>
      </w:r>
      <w:r w:rsidR="004902A6">
        <w:rPr>
          <w:bCs/>
        </w:rPr>
        <w:t>Housing Benefits overpayments</w:t>
      </w:r>
      <w:r w:rsidRPr="004902A6">
        <w:rPr>
          <w:bCs/>
        </w:rPr>
        <w:t>, coupled with the</w:t>
      </w:r>
      <w:r w:rsidR="00F82334">
        <w:rPr>
          <w:bCs/>
        </w:rPr>
        <w:t xml:space="preserve"> one off</w:t>
      </w:r>
      <w:r w:rsidRPr="004902A6">
        <w:rPr>
          <w:bCs/>
        </w:rPr>
        <w:t xml:space="preserve"> anticipated receipt of Government subsidy. In addition, the Business Transformation Partnerships team has delivered spending reductions from previous identified savings opportunities relating to negotiated servi</w:t>
      </w:r>
      <w:r w:rsidR="00A31B6F">
        <w:rPr>
          <w:bCs/>
        </w:rPr>
        <w:t>ce credits and IT support costs</w:t>
      </w:r>
      <w:r w:rsidRPr="004902A6">
        <w:rPr>
          <w:bCs/>
        </w:rPr>
        <w:t>.</w:t>
      </w:r>
    </w:p>
    <w:p w14:paraId="0077E489" w14:textId="4D55783F" w:rsidR="00981662" w:rsidRPr="004902A6" w:rsidRDefault="00981662" w:rsidP="00FA683C">
      <w:pPr>
        <w:pStyle w:val="ListParagraph"/>
        <w:numPr>
          <w:ilvl w:val="1"/>
          <w:numId w:val="6"/>
        </w:numPr>
        <w:spacing w:after="120"/>
        <w:ind w:left="709" w:hanging="709"/>
        <w:jc w:val="both"/>
        <w:rPr>
          <w:bCs/>
        </w:rPr>
      </w:pPr>
      <w:r w:rsidRPr="004902A6">
        <w:rPr>
          <w:bCs/>
        </w:rPr>
        <w:t>Legal &amp; Governan</w:t>
      </w:r>
      <w:r w:rsidR="005B78F9">
        <w:rPr>
          <w:bCs/>
        </w:rPr>
        <w:t xml:space="preserve">ce  </w:t>
      </w:r>
      <w:r w:rsidR="00091950">
        <w:rPr>
          <w:bCs/>
        </w:rPr>
        <w:t xml:space="preserve"> received </w:t>
      </w:r>
      <w:r w:rsidRPr="004902A6">
        <w:rPr>
          <w:bCs/>
        </w:rPr>
        <w:t xml:space="preserve">(£208k) </w:t>
      </w:r>
      <w:r w:rsidR="004528FB" w:rsidRPr="004902A6">
        <w:rPr>
          <w:bCs/>
        </w:rPr>
        <w:t xml:space="preserve">from </w:t>
      </w:r>
      <w:r w:rsidR="004528FB">
        <w:rPr>
          <w:bCs/>
        </w:rPr>
        <w:t>Central</w:t>
      </w:r>
      <w:r w:rsidRPr="004902A6">
        <w:rPr>
          <w:bCs/>
        </w:rPr>
        <w:t xml:space="preserve"> Government for the costs of Euro</w:t>
      </w:r>
      <w:r w:rsidR="00BE3D10">
        <w:rPr>
          <w:bCs/>
        </w:rPr>
        <w:t>pean Elections incurred in 2015/</w:t>
      </w:r>
      <w:r w:rsidRPr="004902A6">
        <w:rPr>
          <w:bCs/>
        </w:rPr>
        <w:t xml:space="preserve">16, which has contributed to the under spend of </w:t>
      </w:r>
      <w:r w:rsidRPr="004902A6">
        <w:rPr>
          <w:b/>
          <w:bCs/>
        </w:rPr>
        <w:t>(£166k)</w:t>
      </w:r>
      <w:r w:rsidRPr="004902A6">
        <w:rPr>
          <w:bCs/>
        </w:rPr>
        <w:t xml:space="preserve"> reported by the service.</w:t>
      </w:r>
    </w:p>
    <w:p w14:paraId="75948190" w14:textId="77952B31" w:rsidR="00981662" w:rsidRPr="004902A6" w:rsidRDefault="00981662" w:rsidP="00FA683C">
      <w:pPr>
        <w:pStyle w:val="ListParagraph"/>
        <w:numPr>
          <w:ilvl w:val="1"/>
          <w:numId w:val="6"/>
        </w:numPr>
        <w:spacing w:after="120"/>
        <w:ind w:left="709" w:hanging="709"/>
        <w:jc w:val="both"/>
        <w:rPr>
          <w:bCs/>
        </w:rPr>
      </w:pPr>
      <w:r w:rsidRPr="004902A6">
        <w:rPr>
          <w:bCs/>
        </w:rPr>
        <w:t>H</w:t>
      </w:r>
      <w:r w:rsidR="00A31B6F">
        <w:rPr>
          <w:bCs/>
        </w:rPr>
        <w:t xml:space="preserve">uman </w:t>
      </w:r>
      <w:r w:rsidRPr="004902A6">
        <w:rPr>
          <w:bCs/>
        </w:rPr>
        <w:t>R</w:t>
      </w:r>
      <w:r w:rsidR="00A31B6F">
        <w:rPr>
          <w:bCs/>
        </w:rPr>
        <w:t xml:space="preserve">esources </w:t>
      </w:r>
      <w:r w:rsidRPr="004902A6">
        <w:rPr>
          <w:bCs/>
        </w:rPr>
        <w:t>D</w:t>
      </w:r>
      <w:r w:rsidR="00A31B6F">
        <w:rPr>
          <w:bCs/>
        </w:rPr>
        <w:t>irectorate</w:t>
      </w:r>
      <w:r w:rsidRPr="004902A6">
        <w:rPr>
          <w:bCs/>
        </w:rPr>
        <w:t xml:space="preserve"> &amp; Shared Services</w:t>
      </w:r>
      <w:r w:rsidRPr="004902A6">
        <w:rPr>
          <w:b/>
          <w:bCs/>
        </w:rPr>
        <w:t xml:space="preserve"> </w:t>
      </w:r>
      <w:r w:rsidRPr="004902A6">
        <w:rPr>
          <w:bCs/>
        </w:rPr>
        <w:t>is</w:t>
      </w:r>
      <w:r w:rsidRPr="004902A6">
        <w:rPr>
          <w:b/>
          <w:bCs/>
        </w:rPr>
        <w:t xml:space="preserve"> </w:t>
      </w:r>
      <w:r w:rsidR="00F82334">
        <w:rPr>
          <w:bCs/>
        </w:rPr>
        <w:t>forecasting to under spend by</w:t>
      </w:r>
      <w:r w:rsidRPr="004902A6">
        <w:rPr>
          <w:bCs/>
        </w:rPr>
        <w:t xml:space="preserve"> </w:t>
      </w:r>
      <w:r w:rsidRPr="004902A6">
        <w:rPr>
          <w:b/>
          <w:bCs/>
        </w:rPr>
        <w:t>(£223k)</w:t>
      </w:r>
      <w:r w:rsidRPr="004902A6">
        <w:rPr>
          <w:bCs/>
        </w:rPr>
        <w:t xml:space="preserve"> following the phase 1 implementation of the shared services with Buckinghamshire County Council.  </w:t>
      </w:r>
    </w:p>
    <w:p w14:paraId="0DB57C98" w14:textId="766542A8" w:rsidR="00981662" w:rsidRPr="004902A6" w:rsidRDefault="00981662" w:rsidP="00FA683C">
      <w:pPr>
        <w:pStyle w:val="ListParagraph"/>
        <w:numPr>
          <w:ilvl w:val="1"/>
          <w:numId w:val="6"/>
        </w:numPr>
        <w:spacing w:after="120"/>
        <w:ind w:left="709" w:hanging="709"/>
        <w:jc w:val="both"/>
        <w:rPr>
          <w:bCs/>
        </w:rPr>
      </w:pPr>
      <w:r w:rsidRPr="004902A6">
        <w:rPr>
          <w:bCs/>
        </w:rPr>
        <w:t xml:space="preserve">Strategic Commissioning </w:t>
      </w:r>
      <w:r w:rsidR="00852428" w:rsidRPr="004902A6">
        <w:rPr>
          <w:bCs/>
        </w:rPr>
        <w:t>is forecasting an over spend</w:t>
      </w:r>
      <w:r w:rsidRPr="004902A6">
        <w:rPr>
          <w:bCs/>
        </w:rPr>
        <w:t xml:space="preserve"> of </w:t>
      </w:r>
      <w:r w:rsidRPr="004902A6">
        <w:rPr>
          <w:b/>
          <w:bCs/>
        </w:rPr>
        <w:t>£174k</w:t>
      </w:r>
      <w:r w:rsidRPr="004902A6">
        <w:rPr>
          <w:bCs/>
        </w:rPr>
        <w:t xml:space="preserve"> </w:t>
      </w:r>
      <w:r w:rsidR="00852428" w:rsidRPr="004902A6">
        <w:rPr>
          <w:bCs/>
        </w:rPr>
        <w:t>due to</w:t>
      </w:r>
      <w:r w:rsidR="00DE2FCF">
        <w:rPr>
          <w:bCs/>
        </w:rPr>
        <w:t xml:space="preserve"> a partly achieved MTFS </w:t>
      </w:r>
      <w:r w:rsidR="00BE3D10">
        <w:rPr>
          <w:bCs/>
        </w:rPr>
        <w:t xml:space="preserve">savings </w:t>
      </w:r>
      <w:r w:rsidR="00DE2FCF">
        <w:rPr>
          <w:bCs/>
        </w:rPr>
        <w:t>and</w:t>
      </w:r>
      <w:r w:rsidR="00DC4901">
        <w:rPr>
          <w:bCs/>
        </w:rPr>
        <w:t xml:space="preserve"> the</w:t>
      </w:r>
      <w:r w:rsidR="00DE2FCF">
        <w:rPr>
          <w:bCs/>
        </w:rPr>
        <w:t xml:space="preserve"> </w:t>
      </w:r>
      <w:r w:rsidRPr="004902A6">
        <w:rPr>
          <w:bCs/>
        </w:rPr>
        <w:t>underachievement of income</w:t>
      </w:r>
      <w:r w:rsidR="00DE2FCF">
        <w:rPr>
          <w:bCs/>
        </w:rPr>
        <w:t xml:space="preserve"> that </w:t>
      </w:r>
      <w:r w:rsidR="00DE2FCF" w:rsidRPr="004902A6">
        <w:rPr>
          <w:bCs/>
        </w:rPr>
        <w:t>service</w:t>
      </w:r>
      <w:r w:rsidRPr="004902A6">
        <w:rPr>
          <w:bCs/>
        </w:rPr>
        <w:t xml:space="preserve"> rec</w:t>
      </w:r>
      <w:r w:rsidR="00DE2FCF">
        <w:rPr>
          <w:bCs/>
        </w:rPr>
        <w:t xml:space="preserve">ognised but </w:t>
      </w:r>
      <w:r w:rsidRPr="004902A6">
        <w:rPr>
          <w:bCs/>
        </w:rPr>
        <w:t>will</w:t>
      </w:r>
      <w:r w:rsidR="00DE2FCF">
        <w:rPr>
          <w:bCs/>
        </w:rPr>
        <w:t xml:space="preserve"> now </w:t>
      </w:r>
      <w:r w:rsidRPr="004902A6">
        <w:rPr>
          <w:bCs/>
        </w:rPr>
        <w:t>not be received in the current financial year.</w:t>
      </w:r>
    </w:p>
    <w:p w14:paraId="6F881504" w14:textId="11308999" w:rsidR="00981662" w:rsidRPr="004902A6" w:rsidRDefault="00981662" w:rsidP="00FA683C">
      <w:pPr>
        <w:pStyle w:val="ListParagraph"/>
        <w:numPr>
          <w:ilvl w:val="1"/>
          <w:numId w:val="6"/>
        </w:numPr>
        <w:spacing w:after="120"/>
        <w:ind w:left="709" w:hanging="709"/>
        <w:jc w:val="both"/>
        <w:rPr>
          <w:bCs/>
        </w:rPr>
      </w:pPr>
      <w:r w:rsidRPr="004902A6">
        <w:rPr>
          <w:bCs/>
        </w:rPr>
        <w:t>Procurement is forecast to overspend</w:t>
      </w:r>
      <w:r w:rsidR="00A31B6F">
        <w:rPr>
          <w:bCs/>
        </w:rPr>
        <w:t xml:space="preserve"> by</w:t>
      </w:r>
      <w:r w:rsidRPr="004902A6">
        <w:rPr>
          <w:bCs/>
        </w:rPr>
        <w:t xml:space="preserve"> </w:t>
      </w:r>
      <w:r w:rsidRPr="004902A6">
        <w:rPr>
          <w:b/>
          <w:bCs/>
        </w:rPr>
        <w:t>£196k</w:t>
      </w:r>
      <w:r w:rsidRPr="004902A6">
        <w:rPr>
          <w:bCs/>
        </w:rPr>
        <w:t xml:space="preserve"> due to underachievement of savings relating to the Pan Organisation MTFS target. Pan Organisation savings target will not be fully achieved by £100k and</w:t>
      </w:r>
      <w:r w:rsidR="00FC627D">
        <w:rPr>
          <w:bCs/>
        </w:rPr>
        <w:t xml:space="preserve"> </w:t>
      </w:r>
      <w:r w:rsidRPr="004902A6">
        <w:rPr>
          <w:bCs/>
        </w:rPr>
        <w:t xml:space="preserve"> the service is experiencing a further over spend as a result of </w:t>
      </w:r>
      <w:r w:rsidR="00FC627D">
        <w:rPr>
          <w:bCs/>
        </w:rPr>
        <w:t xml:space="preserve">a pressure relating to </w:t>
      </w:r>
      <w:r w:rsidRPr="004902A6">
        <w:rPr>
          <w:bCs/>
        </w:rPr>
        <w:t xml:space="preserve">West London Alliance fees £41k and additional staffing cost </w:t>
      </w:r>
      <w:r w:rsidR="00A31B6F">
        <w:rPr>
          <w:bCs/>
        </w:rPr>
        <w:t xml:space="preserve">of </w:t>
      </w:r>
      <w:r w:rsidRPr="004902A6">
        <w:rPr>
          <w:bCs/>
        </w:rPr>
        <w:t>£50k.</w:t>
      </w:r>
    </w:p>
    <w:p w14:paraId="5BDF105D" w14:textId="4CFEB56C" w:rsidR="00981662" w:rsidRPr="004902A6" w:rsidRDefault="00981662" w:rsidP="00FA683C">
      <w:pPr>
        <w:pStyle w:val="ListParagraph"/>
        <w:numPr>
          <w:ilvl w:val="1"/>
          <w:numId w:val="6"/>
        </w:numPr>
        <w:spacing w:after="120"/>
        <w:ind w:left="709" w:hanging="709"/>
        <w:jc w:val="both"/>
        <w:rPr>
          <w:bCs/>
        </w:rPr>
      </w:pPr>
      <w:r w:rsidRPr="004902A6">
        <w:rPr>
          <w:bCs/>
        </w:rPr>
        <w:t>Financ</w:t>
      </w:r>
      <w:r w:rsidR="00A31B6F">
        <w:rPr>
          <w:bCs/>
        </w:rPr>
        <w:t>e &amp; Assurance is forecasting an</w:t>
      </w:r>
      <w:r w:rsidRPr="004902A6">
        <w:rPr>
          <w:bCs/>
        </w:rPr>
        <w:t xml:space="preserve"> overspend of </w:t>
      </w:r>
      <w:r w:rsidRPr="004902A6">
        <w:rPr>
          <w:b/>
          <w:bCs/>
        </w:rPr>
        <w:t>£106k</w:t>
      </w:r>
      <w:r w:rsidRPr="004902A6">
        <w:rPr>
          <w:bCs/>
        </w:rPr>
        <w:t xml:space="preserve"> due to staffing pressures within the Corporate Finance budget.</w:t>
      </w:r>
    </w:p>
    <w:p w14:paraId="7EA0DECE" w14:textId="6282C773" w:rsidR="00852428" w:rsidRPr="004902A6" w:rsidRDefault="00852428" w:rsidP="00FA683C">
      <w:pPr>
        <w:pStyle w:val="ListParagraph"/>
        <w:numPr>
          <w:ilvl w:val="1"/>
          <w:numId w:val="6"/>
        </w:numPr>
        <w:spacing w:after="120"/>
        <w:ind w:left="709" w:hanging="709"/>
        <w:jc w:val="both"/>
        <w:rPr>
          <w:bCs/>
        </w:rPr>
      </w:pPr>
      <w:r w:rsidRPr="004902A6">
        <w:rPr>
          <w:bCs/>
        </w:rPr>
        <w:t xml:space="preserve">The directorate has also delivered in year savings of </w:t>
      </w:r>
      <w:r w:rsidR="00DE2FCF" w:rsidRPr="00DE2FCF">
        <w:rPr>
          <w:b/>
          <w:bCs/>
        </w:rPr>
        <w:t>(</w:t>
      </w:r>
      <w:r w:rsidRPr="00DE2FCF">
        <w:rPr>
          <w:b/>
          <w:bCs/>
        </w:rPr>
        <w:t>£65k</w:t>
      </w:r>
      <w:r w:rsidR="00DE2FCF" w:rsidRPr="00DE2FCF">
        <w:rPr>
          <w:b/>
          <w:bCs/>
        </w:rPr>
        <w:t>)</w:t>
      </w:r>
      <w:r w:rsidRPr="004902A6">
        <w:rPr>
          <w:bCs/>
        </w:rPr>
        <w:t xml:space="preserve"> through controlled expenditure since the last reporting cycle. This figure is reflected within </w:t>
      </w:r>
      <w:r w:rsidR="00A31B6F">
        <w:rPr>
          <w:bCs/>
        </w:rPr>
        <w:t xml:space="preserve">the </w:t>
      </w:r>
      <w:r w:rsidRPr="004902A6">
        <w:rPr>
          <w:bCs/>
        </w:rPr>
        <w:t>projections made in this report.</w:t>
      </w:r>
    </w:p>
    <w:p w14:paraId="3EFF1CA4" w14:textId="77777777" w:rsidR="00981662" w:rsidRDefault="00981662" w:rsidP="008F21C7">
      <w:pPr>
        <w:ind w:firstLine="709"/>
        <w:rPr>
          <w:rFonts w:cs="Arial"/>
          <w:bCs/>
          <w:szCs w:val="24"/>
          <w:u w:val="single"/>
        </w:rPr>
      </w:pPr>
    </w:p>
    <w:p w14:paraId="24C7DB3E" w14:textId="77777777" w:rsidR="008210B6" w:rsidRDefault="008210B6">
      <w:pPr>
        <w:rPr>
          <w:rFonts w:cs="Arial"/>
          <w:bCs/>
          <w:szCs w:val="24"/>
          <w:u w:val="single"/>
        </w:rPr>
      </w:pPr>
      <w:r>
        <w:rPr>
          <w:rFonts w:cs="Arial"/>
          <w:bCs/>
          <w:szCs w:val="24"/>
          <w:u w:val="single"/>
        </w:rPr>
        <w:br w:type="page"/>
      </w:r>
    </w:p>
    <w:p w14:paraId="7AC5F4FF" w14:textId="2F888E4D" w:rsidR="00A367E0" w:rsidRPr="008F21C7" w:rsidRDefault="00A367E0" w:rsidP="008F21C7">
      <w:pPr>
        <w:ind w:firstLine="709"/>
        <w:rPr>
          <w:rFonts w:cs="Arial"/>
          <w:bCs/>
          <w:szCs w:val="24"/>
          <w:u w:val="single"/>
        </w:rPr>
      </w:pPr>
      <w:r w:rsidRPr="008F21C7">
        <w:rPr>
          <w:rFonts w:cs="Arial"/>
          <w:bCs/>
          <w:szCs w:val="24"/>
          <w:u w:val="single"/>
        </w:rPr>
        <w:lastRenderedPageBreak/>
        <w:t>Business Support</w:t>
      </w:r>
    </w:p>
    <w:p w14:paraId="75B4EE96" w14:textId="77777777" w:rsidR="008F21C7" w:rsidRPr="00190FD2" w:rsidRDefault="008F21C7" w:rsidP="008F21C7">
      <w:pPr>
        <w:ind w:firstLine="709"/>
        <w:rPr>
          <w:rFonts w:cs="Arial"/>
          <w:b/>
          <w:bCs/>
          <w:szCs w:val="24"/>
          <w:u w:val="single"/>
        </w:rPr>
      </w:pPr>
    </w:p>
    <w:p w14:paraId="741C1334" w14:textId="7B320E24" w:rsidR="00A367E0" w:rsidRPr="005E553E" w:rsidRDefault="000D5959" w:rsidP="005E553E">
      <w:pPr>
        <w:pStyle w:val="ListParagraph"/>
        <w:numPr>
          <w:ilvl w:val="1"/>
          <w:numId w:val="6"/>
        </w:numPr>
        <w:tabs>
          <w:tab w:val="left" w:pos="709"/>
        </w:tabs>
        <w:spacing w:after="120"/>
        <w:ind w:hanging="689"/>
        <w:jc w:val="both"/>
        <w:rPr>
          <w:rFonts w:cs="Arial"/>
          <w:bCs/>
          <w:szCs w:val="24"/>
        </w:rPr>
      </w:pPr>
      <w:r w:rsidRPr="005E553E">
        <w:rPr>
          <w:bCs/>
        </w:rPr>
        <w:t>Business Support</w:t>
      </w:r>
      <w:r w:rsidRPr="005E553E">
        <w:rPr>
          <w:b/>
          <w:bCs/>
        </w:rPr>
        <w:t xml:space="preserve"> </w:t>
      </w:r>
      <w:r w:rsidRPr="005E553E">
        <w:rPr>
          <w:bCs/>
        </w:rPr>
        <w:t xml:space="preserve">is </w:t>
      </w:r>
      <w:r w:rsidR="00BF020B" w:rsidRPr="005E553E">
        <w:rPr>
          <w:bCs/>
        </w:rPr>
        <w:t>forecasting to overspend by £891</w:t>
      </w:r>
      <w:r w:rsidRPr="005E553E">
        <w:rPr>
          <w:bCs/>
        </w:rPr>
        <w:t>k</w:t>
      </w:r>
      <w:r w:rsidR="009F5F40" w:rsidRPr="005E553E">
        <w:rPr>
          <w:bCs/>
        </w:rPr>
        <w:t xml:space="preserve"> at Quarter </w:t>
      </w:r>
      <w:r w:rsidR="00BF020B" w:rsidRPr="005E553E">
        <w:rPr>
          <w:bCs/>
        </w:rPr>
        <w:t>3</w:t>
      </w:r>
      <w:r w:rsidR="00A64789" w:rsidRPr="005E553E">
        <w:rPr>
          <w:bCs/>
        </w:rPr>
        <w:t xml:space="preserve"> compared</w:t>
      </w:r>
      <w:r w:rsidR="00BF020B" w:rsidRPr="005E553E">
        <w:rPr>
          <w:bCs/>
        </w:rPr>
        <w:t xml:space="preserve"> to £877k in Quarter 2</w:t>
      </w:r>
      <w:r w:rsidRPr="005E553E">
        <w:rPr>
          <w:bCs/>
        </w:rPr>
        <w:t>.  The MTFS savings target of £650k for ‘Business Support Rev</w:t>
      </w:r>
      <w:r w:rsidR="00DE2FCF">
        <w:rPr>
          <w:bCs/>
        </w:rPr>
        <w:t>iew’ is resulting in a pres</w:t>
      </w:r>
      <w:r w:rsidR="008C0CCD">
        <w:rPr>
          <w:bCs/>
        </w:rPr>
        <w:t>sure</w:t>
      </w:r>
      <w:r w:rsidR="000937DA">
        <w:rPr>
          <w:bCs/>
        </w:rPr>
        <w:t xml:space="preserve">, </w:t>
      </w:r>
      <w:r w:rsidR="008C0CCD">
        <w:rPr>
          <w:bCs/>
        </w:rPr>
        <w:t xml:space="preserve">the rest of the </w:t>
      </w:r>
      <w:r w:rsidR="00A31B6F">
        <w:rPr>
          <w:bCs/>
        </w:rPr>
        <w:t>overspend</w:t>
      </w:r>
      <w:r w:rsidR="008C0CCD">
        <w:rPr>
          <w:bCs/>
        </w:rPr>
        <w:t xml:space="preserve"> is due to</w:t>
      </w:r>
      <w:r w:rsidR="00A31B6F">
        <w:rPr>
          <w:bCs/>
        </w:rPr>
        <w:t xml:space="preserve"> the</w:t>
      </w:r>
      <w:r w:rsidR="008C0CCD">
        <w:rPr>
          <w:bCs/>
        </w:rPr>
        <w:t xml:space="preserve"> staffing pressure from Children Services.</w:t>
      </w:r>
    </w:p>
    <w:p w14:paraId="4E0C5330" w14:textId="6CD332F3" w:rsidR="004D6EBB" w:rsidRPr="00FA683C" w:rsidRDefault="000D5959" w:rsidP="008210B6">
      <w:pPr>
        <w:pStyle w:val="ListParagraph"/>
        <w:numPr>
          <w:ilvl w:val="1"/>
          <w:numId w:val="6"/>
        </w:numPr>
        <w:tabs>
          <w:tab w:val="left" w:pos="709"/>
        </w:tabs>
        <w:ind w:left="706" w:hanging="706"/>
        <w:jc w:val="both"/>
        <w:rPr>
          <w:b/>
          <w:u w:val="single"/>
        </w:rPr>
      </w:pPr>
      <w:r w:rsidRPr="00FA683C">
        <w:rPr>
          <w:bCs/>
        </w:rPr>
        <w:t xml:space="preserve">A review of the Business Support budgets has been taking place </w:t>
      </w:r>
      <w:r w:rsidR="00BE3D10">
        <w:rPr>
          <w:bCs/>
        </w:rPr>
        <w:t>in response</w:t>
      </w:r>
      <w:r w:rsidR="000937DA">
        <w:rPr>
          <w:bCs/>
        </w:rPr>
        <w:t xml:space="preserve"> to significant demand led pressures, </w:t>
      </w:r>
      <w:r w:rsidRPr="00FA683C">
        <w:rPr>
          <w:bCs/>
        </w:rPr>
        <w:t>with an anal</w:t>
      </w:r>
      <w:r w:rsidR="000937DA">
        <w:rPr>
          <w:bCs/>
        </w:rPr>
        <w:t xml:space="preserve">ysis of the support required for </w:t>
      </w:r>
      <w:r w:rsidRPr="00FA683C">
        <w:rPr>
          <w:bCs/>
        </w:rPr>
        <w:t>the Children</w:t>
      </w:r>
      <w:r w:rsidR="001347B9" w:rsidRPr="00FA683C">
        <w:rPr>
          <w:bCs/>
        </w:rPr>
        <w:t>’</w:t>
      </w:r>
      <w:r w:rsidR="000937DA">
        <w:rPr>
          <w:bCs/>
        </w:rPr>
        <w:t>s front line service.</w:t>
      </w:r>
      <w:r w:rsidRPr="00FA683C">
        <w:rPr>
          <w:bCs/>
        </w:rPr>
        <w:t xml:space="preserve"> This has included reviewing Business Support activity within Children</w:t>
      </w:r>
      <w:r w:rsidR="001347B9" w:rsidRPr="00FA683C">
        <w:rPr>
          <w:bCs/>
        </w:rPr>
        <w:t>’</w:t>
      </w:r>
      <w:r w:rsidRPr="00FA683C">
        <w:rPr>
          <w:bCs/>
        </w:rPr>
        <w:t xml:space="preserve">s Services. </w:t>
      </w:r>
      <w:r w:rsidR="001347B9" w:rsidRPr="00FA683C">
        <w:rPr>
          <w:bCs/>
        </w:rPr>
        <w:t xml:space="preserve">The cost pressure associated with </w:t>
      </w:r>
      <w:r w:rsidR="007D291B" w:rsidRPr="00FA683C">
        <w:rPr>
          <w:bCs/>
        </w:rPr>
        <w:t>this review is</w:t>
      </w:r>
      <w:r w:rsidR="001347B9" w:rsidRPr="00FA683C">
        <w:rPr>
          <w:bCs/>
        </w:rPr>
        <w:t xml:space="preserve"> reflected in the children’s </w:t>
      </w:r>
      <w:r w:rsidR="00BF020B">
        <w:rPr>
          <w:bCs/>
        </w:rPr>
        <w:t>f</w:t>
      </w:r>
      <w:r w:rsidR="001347B9" w:rsidRPr="00FA683C">
        <w:rPr>
          <w:bCs/>
        </w:rPr>
        <w:t xml:space="preserve">orecast for </w:t>
      </w:r>
      <w:r w:rsidR="00BE3D10">
        <w:rPr>
          <w:bCs/>
        </w:rPr>
        <w:t>20</w:t>
      </w:r>
      <w:r w:rsidR="001347B9" w:rsidRPr="00FA683C">
        <w:rPr>
          <w:bCs/>
        </w:rPr>
        <w:t xml:space="preserve">16/17 and will be </w:t>
      </w:r>
      <w:r w:rsidR="00BF020B" w:rsidRPr="00FA683C">
        <w:rPr>
          <w:bCs/>
        </w:rPr>
        <w:t>transferred</w:t>
      </w:r>
      <w:r w:rsidR="001347B9" w:rsidRPr="00FA683C">
        <w:rPr>
          <w:bCs/>
        </w:rPr>
        <w:t xml:space="preserve"> to Business support </w:t>
      </w:r>
      <w:r w:rsidR="008C0CCD">
        <w:rPr>
          <w:bCs/>
        </w:rPr>
        <w:t xml:space="preserve">in the </w:t>
      </w:r>
      <w:r w:rsidR="001347B9" w:rsidRPr="00FA683C">
        <w:rPr>
          <w:bCs/>
        </w:rPr>
        <w:t>next financial year.</w:t>
      </w:r>
      <w:bookmarkEnd w:id="1"/>
    </w:p>
    <w:p w14:paraId="289BF832" w14:textId="77777777" w:rsidR="00FA683C" w:rsidRPr="00FA683C" w:rsidRDefault="00FA683C" w:rsidP="008210B6">
      <w:pPr>
        <w:pStyle w:val="ListParagraph"/>
        <w:tabs>
          <w:tab w:val="left" w:pos="709"/>
        </w:tabs>
        <w:ind w:left="706"/>
        <w:jc w:val="both"/>
        <w:rPr>
          <w:b/>
          <w:u w:val="single"/>
        </w:rPr>
      </w:pPr>
    </w:p>
    <w:p w14:paraId="31B8DCE1" w14:textId="77454921" w:rsidR="00BD6EA7" w:rsidRPr="000D5959" w:rsidRDefault="00D258AC" w:rsidP="000D5959">
      <w:pPr>
        <w:tabs>
          <w:tab w:val="left" w:pos="709"/>
        </w:tabs>
        <w:spacing w:after="240"/>
        <w:jc w:val="both"/>
        <w:rPr>
          <w:b/>
          <w:u w:val="single"/>
        </w:rPr>
      </w:pPr>
      <w:r w:rsidRPr="000D5959">
        <w:rPr>
          <w:b/>
          <w:u w:val="single"/>
        </w:rPr>
        <w:t>C</w:t>
      </w:r>
      <w:r w:rsidR="00152955" w:rsidRPr="000D5959">
        <w:rPr>
          <w:b/>
          <w:u w:val="single"/>
        </w:rPr>
        <w:t>ommunity Directorate</w:t>
      </w:r>
    </w:p>
    <w:p w14:paraId="1BFE65FA" w14:textId="57ABFCC1" w:rsidR="0022766E" w:rsidRPr="0021777C" w:rsidRDefault="005E553E" w:rsidP="00AC2BAA">
      <w:pPr>
        <w:pStyle w:val="Heading4"/>
        <w:spacing w:after="120"/>
        <w:ind w:left="720" w:hanging="720"/>
      </w:pPr>
      <w:r>
        <w:rPr>
          <w:b w:val="0"/>
        </w:rPr>
        <w:t>2.1</w:t>
      </w:r>
      <w:r w:rsidR="0039654F">
        <w:rPr>
          <w:b w:val="0"/>
        </w:rPr>
        <w:t>5</w:t>
      </w:r>
      <w:r w:rsidR="00AC2BAA">
        <w:rPr>
          <w:b w:val="0"/>
        </w:rPr>
        <w:tab/>
      </w:r>
      <w:r w:rsidR="0022766E" w:rsidRPr="008A73C4">
        <w:rPr>
          <w:b w:val="0"/>
        </w:rPr>
        <w:t xml:space="preserve">At Quarter </w:t>
      </w:r>
      <w:r w:rsidR="00BF020B">
        <w:rPr>
          <w:b w:val="0"/>
        </w:rPr>
        <w:t>3</w:t>
      </w:r>
      <w:r w:rsidR="0022766E" w:rsidRPr="008A73C4">
        <w:rPr>
          <w:b w:val="0"/>
        </w:rPr>
        <w:t xml:space="preserve"> the Community Directorate is forecasting an over</w:t>
      </w:r>
      <w:r w:rsidR="004902A6">
        <w:rPr>
          <w:b w:val="0"/>
        </w:rPr>
        <w:t xml:space="preserve"> </w:t>
      </w:r>
      <w:r w:rsidR="0022766E" w:rsidRPr="008A73C4">
        <w:rPr>
          <w:b w:val="0"/>
        </w:rPr>
        <w:t>spend of £</w:t>
      </w:r>
      <w:r w:rsidR="00BF020B">
        <w:rPr>
          <w:b w:val="0"/>
        </w:rPr>
        <w:t>3.079</w:t>
      </w:r>
      <w:r w:rsidR="002E7F35">
        <w:rPr>
          <w:b w:val="0"/>
        </w:rPr>
        <w:t xml:space="preserve">m </w:t>
      </w:r>
      <w:r w:rsidR="001347B9">
        <w:rPr>
          <w:b w:val="0"/>
        </w:rPr>
        <w:t>an improvement</w:t>
      </w:r>
      <w:r w:rsidR="005D1119">
        <w:rPr>
          <w:b w:val="0"/>
        </w:rPr>
        <w:t xml:space="preserve"> from quarter </w:t>
      </w:r>
      <w:r w:rsidR="00BF020B">
        <w:rPr>
          <w:b w:val="0"/>
        </w:rPr>
        <w:t>2</w:t>
      </w:r>
      <w:r w:rsidR="005D1119">
        <w:rPr>
          <w:b w:val="0"/>
        </w:rPr>
        <w:t xml:space="preserve"> of </w:t>
      </w:r>
      <w:r w:rsidR="00BF020B">
        <w:rPr>
          <w:b w:val="0"/>
        </w:rPr>
        <w:t>(</w:t>
      </w:r>
      <w:r w:rsidR="002E7F35">
        <w:rPr>
          <w:b w:val="0"/>
        </w:rPr>
        <w:t>£</w:t>
      </w:r>
      <w:r w:rsidR="00BF020B">
        <w:rPr>
          <w:b w:val="0"/>
        </w:rPr>
        <w:t>197</w:t>
      </w:r>
      <w:r w:rsidR="002E7F35">
        <w:rPr>
          <w:b w:val="0"/>
        </w:rPr>
        <w:t>k</w:t>
      </w:r>
      <w:r w:rsidR="00BF020B">
        <w:rPr>
          <w:b w:val="0"/>
        </w:rPr>
        <w:t>)</w:t>
      </w:r>
      <w:r w:rsidR="003338E7">
        <w:rPr>
          <w:b w:val="0"/>
        </w:rPr>
        <w:t>.</w:t>
      </w:r>
      <w:r w:rsidR="00A14F45">
        <w:rPr>
          <w:b w:val="0"/>
        </w:rPr>
        <w:t xml:space="preserve"> </w:t>
      </w:r>
    </w:p>
    <w:p w14:paraId="76118DAE" w14:textId="77777777" w:rsidR="009A46AC" w:rsidRDefault="001347B9" w:rsidP="001347B9">
      <w:pPr>
        <w:ind w:left="851"/>
      </w:pPr>
      <w:r>
        <w:t xml:space="preserve"> </w:t>
      </w:r>
    </w:p>
    <w:p w14:paraId="45CBC636" w14:textId="1A75309E" w:rsidR="009F5F40" w:rsidRPr="00A533C8" w:rsidRDefault="001347B9" w:rsidP="001347B9">
      <w:pPr>
        <w:ind w:left="851"/>
        <w:rPr>
          <w:b/>
          <w:u w:val="single"/>
        </w:rPr>
      </w:pPr>
      <w:r>
        <w:t xml:space="preserve">   </w:t>
      </w:r>
      <w:r w:rsidR="00A533C8">
        <w:rPr>
          <w:b/>
          <w:u w:val="single"/>
        </w:rPr>
        <w:t xml:space="preserve">Table 3: Community </w:t>
      </w:r>
      <w:r w:rsidR="00E46742">
        <w:rPr>
          <w:b/>
          <w:u w:val="single"/>
        </w:rPr>
        <w:t xml:space="preserve">Directorate’s </w:t>
      </w:r>
      <w:r w:rsidR="00A533C8">
        <w:rPr>
          <w:b/>
          <w:u w:val="single"/>
        </w:rPr>
        <w:t>Variance</w:t>
      </w:r>
      <w:r w:rsidRPr="00A533C8">
        <w:rPr>
          <w:b/>
          <w:u w:val="single"/>
        </w:rPr>
        <w:t xml:space="preserve"> </w:t>
      </w:r>
    </w:p>
    <w:p w14:paraId="477CF3BD" w14:textId="77777777" w:rsidR="00A533C8" w:rsidRPr="00972F70" w:rsidRDefault="00A533C8" w:rsidP="001347B9">
      <w:pPr>
        <w:ind w:left="851"/>
      </w:pPr>
    </w:p>
    <w:tbl>
      <w:tblPr>
        <w:tblW w:w="6991" w:type="dxa"/>
        <w:tblInd w:w="1245" w:type="dxa"/>
        <w:tblLayout w:type="fixed"/>
        <w:tblLook w:val="04A0" w:firstRow="1" w:lastRow="0" w:firstColumn="1" w:lastColumn="0" w:noHBand="0" w:noVBand="1"/>
      </w:tblPr>
      <w:tblGrid>
        <w:gridCol w:w="2702"/>
        <w:gridCol w:w="1436"/>
        <w:gridCol w:w="1436"/>
        <w:gridCol w:w="1417"/>
      </w:tblGrid>
      <w:tr w:rsidR="009F5F40" w:rsidRPr="009F5F40" w14:paraId="1AE89326" w14:textId="77777777" w:rsidTr="000A5229">
        <w:trPr>
          <w:trHeight w:val="1489"/>
        </w:trPr>
        <w:tc>
          <w:tcPr>
            <w:tcW w:w="27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7FDD36" w14:textId="77777777" w:rsidR="009F5F40" w:rsidRPr="009F5F40" w:rsidRDefault="009F5F40" w:rsidP="009F5F40">
            <w:pPr>
              <w:rPr>
                <w:rFonts w:cs="Arial"/>
                <w:color w:val="000000"/>
                <w:szCs w:val="24"/>
                <w:lang w:eastAsia="en-GB"/>
              </w:rPr>
            </w:pPr>
            <w:r w:rsidRPr="009F5F40">
              <w:rPr>
                <w:rFonts w:cs="Arial"/>
                <w:color w:val="000000"/>
                <w:szCs w:val="24"/>
                <w:lang w:eastAsia="en-GB"/>
              </w:rPr>
              <w:t> </w:t>
            </w:r>
          </w:p>
        </w:tc>
        <w:tc>
          <w:tcPr>
            <w:tcW w:w="1436" w:type="dxa"/>
            <w:tcBorders>
              <w:top w:val="single" w:sz="8" w:space="0" w:color="auto"/>
              <w:left w:val="nil"/>
              <w:bottom w:val="single" w:sz="8" w:space="0" w:color="auto"/>
              <w:right w:val="single" w:sz="8" w:space="0" w:color="auto"/>
            </w:tcBorders>
            <w:shd w:val="clear" w:color="auto" w:fill="auto"/>
            <w:vAlign w:val="center"/>
            <w:hideMark/>
          </w:tcPr>
          <w:p w14:paraId="0556210F" w14:textId="5B2253EC" w:rsidR="009F5F40" w:rsidRPr="009F5F40" w:rsidRDefault="00BF020B" w:rsidP="009F5F40">
            <w:pPr>
              <w:rPr>
                <w:rFonts w:cs="Arial"/>
                <w:color w:val="000000"/>
                <w:szCs w:val="24"/>
                <w:lang w:eastAsia="en-GB"/>
              </w:rPr>
            </w:pPr>
            <w:r>
              <w:rPr>
                <w:rFonts w:cs="Arial"/>
                <w:color w:val="000000"/>
                <w:szCs w:val="24"/>
                <w:lang w:eastAsia="en-GB"/>
              </w:rPr>
              <w:t>Quarter 3</w:t>
            </w:r>
            <w:r w:rsidR="009F5F40" w:rsidRPr="009F5F40">
              <w:rPr>
                <w:rFonts w:cs="Arial"/>
                <w:color w:val="000000"/>
                <w:szCs w:val="24"/>
                <w:lang w:eastAsia="en-GB"/>
              </w:rPr>
              <w:t xml:space="preserve"> Variance</w:t>
            </w:r>
          </w:p>
        </w:tc>
        <w:tc>
          <w:tcPr>
            <w:tcW w:w="1436" w:type="dxa"/>
            <w:tcBorders>
              <w:top w:val="single" w:sz="8" w:space="0" w:color="auto"/>
              <w:left w:val="nil"/>
              <w:bottom w:val="single" w:sz="8" w:space="0" w:color="auto"/>
              <w:right w:val="single" w:sz="8" w:space="0" w:color="auto"/>
            </w:tcBorders>
            <w:shd w:val="clear" w:color="auto" w:fill="auto"/>
            <w:vAlign w:val="center"/>
            <w:hideMark/>
          </w:tcPr>
          <w:p w14:paraId="543EF804" w14:textId="043670AD" w:rsidR="009F5F40" w:rsidRPr="009F5F40" w:rsidRDefault="0079266E" w:rsidP="0079266E">
            <w:pPr>
              <w:rPr>
                <w:rFonts w:cs="Arial"/>
                <w:color w:val="000000"/>
                <w:szCs w:val="24"/>
                <w:lang w:eastAsia="en-GB"/>
              </w:rPr>
            </w:pPr>
            <w:r>
              <w:rPr>
                <w:rFonts w:cs="Arial"/>
                <w:color w:val="000000"/>
                <w:szCs w:val="24"/>
                <w:lang w:eastAsia="en-GB"/>
              </w:rPr>
              <w:t xml:space="preserve">Quarter 2 </w:t>
            </w:r>
            <w:r w:rsidR="009F5F40" w:rsidRPr="009F5F40">
              <w:rPr>
                <w:rFonts w:cs="Arial"/>
                <w:color w:val="000000"/>
                <w:szCs w:val="24"/>
                <w:lang w:eastAsia="en-GB"/>
              </w:rPr>
              <w:t>Variance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EBD9ACE" w14:textId="4CC0264D" w:rsidR="009F5F40" w:rsidRPr="009F5F40" w:rsidRDefault="009F5F40" w:rsidP="00BF020B">
            <w:pPr>
              <w:rPr>
                <w:rFonts w:cs="Arial"/>
                <w:color w:val="000000"/>
                <w:szCs w:val="24"/>
                <w:lang w:eastAsia="en-GB"/>
              </w:rPr>
            </w:pPr>
            <w:r w:rsidRPr="009F5F40">
              <w:rPr>
                <w:rFonts w:cs="Arial"/>
                <w:color w:val="000000"/>
                <w:szCs w:val="24"/>
                <w:lang w:eastAsia="en-GB"/>
              </w:rPr>
              <w:t>Movement between Q</w:t>
            </w:r>
            <w:r w:rsidR="00BF020B">
              <w:rPr>
                <w:rFonts w:cs="Arial"/>
                <w:color w:val="000000"/>
                <w:szCs w:val="24"/>
                <w:lang w:eastAsia="en-GB"/>
              </w:rPr>
              <w:t>uarter 3</w:t>
            </w:r>
            <w:r w:rsidRPr="009F5F40">
              <w:rPr>
                <w:rFonts w:cs="Arial"/>
                <w:color w:val="000000"/>
                <w:szCs w:val="24"/>
                <w:lang w:eastAsia="en-GB"/>
              </w:rPr>
              <w:t xml:space="preserve"> and Q</w:t>
            </w:r>
            <w:r w:rsidR="00BF020B">
              <w:rPr>
                <w:rFonts w:cs="Arial"/>
                <w:color w:val="000000"/>
                <w:szCs w:val="24"/>
                <w:lang w:eastAsia="en-GB"/>
              </w:rPr>
              <w:t xml:space="preserve">uarter </w:t>
            </w:r>
            <w:r w:rsidRPr="009F5F40">
              <w:rPr>
                <w:rFonts w:cs="Arial"/>
                <w:color w:val="000000"/>
                <w:szCs w:val="24"/>
                <w:lang w:eastAsia="en-GB"/>
              </w:rPr>
              <w:t>2</w:t>
            </w:r>
          </w:p>
        </w:tc>
      </w:tr>
      <w:tr w:rsidR="009F5F40" w:rsidRPr="009F5F40" w14:paraId="4540F28B" w14:textId="77777777" w:rsidTr="000A5229">
        <w:trPr>
          <w:trHeight w:val="309"/>
        </w:trPr>
        <w:tc>
          <w:tcPr>
            <w:tcW w:w="2702" w:type="dxa"/>
            <w:tcBorders>
              <w:top w:val="nil"/>
              <w:left w:val="single" w:sz="8" w:space="0" w:color="auto"/>
              <w:bottom w:val="single" w:sz="8" w:space="0" w:color="auto"/>
              <w:right w:val="single" w:sz="8" w:space="0" w:color="auto"/>
            </w:tcBorders>
            <w:shd w:val="clear" w:color="auto" w:fill="auto"/>
            <w:noWrap/>
            <w:vAlign w:val="center"/>
            <w:hideMark/>
          </w:tcPr>
          <w:p w14:paraId="6761E920" w14:textId="77777777" w:rsidR="009F5F40" w:rsidRPr="009F5F40" w:rsidRDefault="009F5F40" w:rsidP="009F5F40">
            <w:pPr>
              <w:rPr>
                <w:rFonts w:cs="Arial"/>
                <w:color w:val="000000"/>
                <w:szCs w:val="24"/>
                <w:lang w:eastAsia="en-GB"/>
              </w:rPr>
            </w:pPr>
            <w:r w:rsidRPr="009F5F40">
              <w:rPr>
                <w:rFonts w:cs="Arial"/>
                <w:color w:val="000000"/>
                <w:szCs w:val="24"/>
                <w:lang w:eastAsia="en-GB"/>
              </w:rPr>
              <w:t> </w:t>
            </w:r>
          </w:p>
        </w:tc>
        <w:tc>
          <w:tcPr>
            <w:tcW w:w="1436" w:type="dxa"/>
            <w:tcBorders>
              <w:top w:val="nil"/>
              <w:left w:val="nil"/>
              <w:bottom w:val="single" w:sz="8" w:space="0" w:color="auto"/>
              <w:right w:val="single" w:sz="8" w:space="0" w:color="auto"/>
            </w:tcBorders>
            <w:shd w:val="clear" w:color="auto" w:fill="auto"/>
            <w:vAlign w:val="center"/>
            <w:hideMark/>
          </w:tcPr>
          <w:p w14:paraId="3239660A" w14:textId="77777777" w:rsidR="009F5F40" w:rsidRPr="009F5F40" w:rsidRDefault="009F5F40" w:rsidP="009F5F40">
            <w:pPr>
              <w:rPr>
                <w:rFonts w:cs="Arial"/>
                <w:color w:val="000000"/>
                <w:szCs w:val="24"/>
                <w:lang w:eastAsia="en-GB"/>
              </w:rPr>
            </w:pPr>
            <w:r w:rsidRPr="009F5F40">
              <w:rPr>
                <w:rFonts w:cs="Arial"/>
                <w:color w:val="000000"/>
                <w:szCs w:val="24"/>
                <w:lang w:eastAsia="en-GB"/>
              </w:rPr>
              <w:t>£'000</w:t>
            </w:r>
          </w:p>
        </w:tc>
        <w:tc>
          <w:tcPr>
            <w:tcW w:w="1436" w:type="dxa"/>
            <w:tcBorders>
              <w:top w:val="nil"/>
              <w:left w:val="nil"/>
              <w:bottom w:val="single" w:sz="8" w:space="0" w:color="auto"/>
              <w:right w:val="single" w:sz="8" w:space="0" w:color="auto"/>
            </w:tcBorders>
            <w:shd w:val="clear" w:color="auto" w:fill="auto"/>
            <w:vAlign w:val="center"/>
            <w:hideMark/>
          </w:tcPr>
          <w:p w14:paraId="5F0C594F" w14:textId="77777777" w:rsidR="009F5F40" w:rsidRPr="009F5F40" w:rsidRDefault="009F5F40" w:rsidP="009F5F40">
            <w:pPr>
              <w:rPr>
                <w:rFonts w:cs="Arial"/>
                <w:color w:val="000000"/>
                <w:szCs w:val="24"/>
                <w:lang w:eastAsia="en-GB"/>
              </w:rPr>
            </w:pPr>
            <w:r w:rsidRPr="009F5F40">
              <w:rPr>
                <w:rFonts w:cs="Arial"/>
                <w:color w:val="000000"/>
                <w:szCs w:val="24"/>
                <w:lang w:eastAsia="en-GB"/>
              </w:rPr>
              <w:t>£'000</w:t>
            </w:r>
          </w:p>
        </w:tc>
        <w:tc>
          <w:tcPr>
            <w:tcW w:w="1417" w:type="dxa"/>
            <w:tcBorders>
              <w:top w:val="nil"/>
              <w:left w:val="nil"/>
              <w:bottom w:val="single" w:sz="8" w:space="0" w:color="auto"/>
              <w:right w:val="single" w:sz="8" w:space="0" w:color="auto"/>
            </w:tcBorders>
            <w:shd w:val="clear" w:color="auto" w:fill="auto"/>
            <w:vAlign w:val="center"/>
            <w:hideMark/>
          </w:tcPr>
          <w:p w14:paraId="77CB1712" w14:textId="77777777" w:rsidR="009F5F40" w:rsidRPr="009F5F40" w:rsidRDefault="009F5F40" w:rsidP="009F5F40">
            <w:pPr>
              <w:rPr>
                <w:rFonts w:cs="Arial"/>
                <w:color w:val="000000"/>
                <w:szCs w:val="24"/>
                <w:lang w:eastAsia="en-GB"/>
              </w:rPr>
            </w:pPr>
            <w:r w:rsidRPr="009F5F40">
              <w:rPr>
                <w:rFonts w:cs="Arial"/>
                <w:color w:val="000000"/>
                <w:szCs w:val="24"/>
                <w:lang w:eastAsia="en-GB"/>
              </w:rPr>
              <w:t>£'000</w:t>
            </w:r>
          </w:p>
        </w:tc>
      </w:tr>
      <w:tr w:rsidR="009F5F40" w:rsidRPr="009F5F40" w14:paraId="2CD056DE" w14:textId="77777777" w:rsidTr="004902A6">
        <w:trPr>
          <w:trHeight w:val="747"/>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67A592A3" w14:textId="77777777" w:rsidR="009F5F40" w:rsidRPr="009F5F40" w:rsidRDefault="009F5F40" w:rsidP="009F5F40">
            <w:pPr>
              <w:rPr>
                <w:rFonts w:cs="Arial"/>
                <w:color w:val="000000"/>
                <w:szCs w:val="24"/>
                <w:lang w:eastAsia="en-GB"/>
              </w:rPr>
            </w:pPr>
            <w:r w:rsidRPr="009F5F40">
              <w:rPr>
                <w:rFonts w:cs="Arial"/>
                <w:color w:val="000000"/>
                <w:szCs w:val="24"/>
                <w:lang w:eastAsia="en-GB"/>
              </w:rPr>
              <w:t>Commissioning &amp; Commercialisation</w:t>
            </w:r>
          </w:p>
        </w:tc>
        <w:tc>
          <w:tcPr>
            <w:tcW w:w="1436" w:type="dxa"/>
            <w:tcBorders>
              <w:top w:val="nil"/>
              <w:left w:val="nil"/>
              <w:bottom w:val="single" w:sz="8" w:space="0" w:color="auto"/>
              <w:right w:val="single" w:sz="8" w:space="0" w:color="auto"/>
            </w:tcBorders>
            <w:shd w:val="clear" w:color="auto" w:fill="auto"/>
            <w:noWrap/>
            <w:vAlign w:val="center"/>
            <w:hideMark/>
          </w:tcPr>
          <w:p w14:paraId="55F776BE" w14:textId="0C795C00" w:rsidR="009F5F40" w:rsidRPr="009F5F40" w:rsidRDefault="008F511F" w:rsidP="009F5F40">
            <w:pPr>
              <w:jc w:val="right"/>
              <w:rPr>
                <w:rFonts w:cs="Arial"/>
                <w:color w:val="000000"/>
                <w:szCs w:val="24"/>
                <w:lang w:eastAsia="en-GB"/>
              </w:rPr>
            </w:pPr>
            <w:r>
              <w:rPr>
                <w:rFonts w:cs="Arial"/>
                <w:color w:val="000000"/>
                <w:szCs w:val="24"/>
                <w:lang w:eastAsia="en-GB"/>
              </w:rPr>
              <w:t>(418)</w:t>
            </w:r>
          </w:p>
        </w:tc>
        <w:tc>
          <w:tcPr>
            <w:tcW w:w="1436" w:type="dxa"/>
            <w:tcBorders>
              <w:top w:val="nil"/>
              <w:left w:val="nil"/>
              <w:bottom w:val="single" w:sz="8" w:space="0" w:color="auto"/>
              <w:right w:val="single" w:sz="8" w:space="0" w:color="auto"/>
            </w:tcBorders>
            <w:shd w:val="clear" w:color="auto" w:fill="auto"/>
            <w:vAlign w:val="center"/>
            <w:hideMark/>
          </w:tcPr>
          <w:p w14:paraId="119336B6" w14:textId="1858CE06" w:rsidR="009F5F40" w:rsidRPr="009F5F40" w:rsidRDefault="00BF020B" w:rsidP="00BF020B">
            <w:pPr>
              <w:jc w:val="right"/>
              <w:rPr>
                <w:rFonts w:cs="Arial"/>
                <w:color w:val="000000"/>
                <w:szCs w:val="24"/>
                <w:lang w:eastAsia="en-GB"/>
              </w:rPr>
            </w:pPr>
            <w:r>
              <w:rPr>
                <w:rFonts w:cs="Arial"/>
                <w:color w:val="000000"/>
                <w:szCs w:val="24"/>
                <w:lang w:eastAsia="en-GB"/>
              </w:rPr>
              <w:t>(410)</w:t>
            </w:r>
          </w:p>
        </w:tc>
        <w:tc>
          <w:tcPr>
            <w:tcW w:w="1417" w:type="dxa"/>
            <w:tcBorders>
              <w:top w:val="nil"/>
              <w:left w:val="nil"/>
              <w:bottom w:val="single" w:sz="8" w:space="0" w:color="auto"/>
              <w:right w:val="single" w:sz="8" w:space="0" w:color="auto"/>
            </w:tcBorders>
            <w:shd w:val="clear" w:color="auto" w:fill="auto"/>
            <w:vAlign w:val="center"/>
            <w:hideMark/>
          </w:tcPr>
          <w:p w14:paraId="57A695DE" w14:textId="2BDA37C3" w:rsidR="009F5F40" w:rsidRPr="009F5F40" w:rsidRDefault="008F511F" w:rsidP="009F5F40">
            <w:pPr>
              <w:jc w:val="right"/>
              <w:rPr>
                <w:rFonts w:cs="Arial"/>
                <w:color w:val="000000"/>
                <w:szCs w:val="24"/>
                <w:lang w:eastAsia="en-GB"/>
              </w:rPr>
            </w:pPr>
            <w:r>
              <w:rPr>
                <w:rFonts w:cs="Arial"/>
                <w:color w:val="000000"/>
                <w:szCs w:val="24"/>
                <w:lang w:eastAsia="en-GB"/>
              </w:rPr>
              <w:t>(8)</w:t>
            </w:r>
          </w:p>
        </w:tc>
      </w:tr>
      <w:tr w:rsidR="009F5F40" w:rsidRPr="009F5F40" w14:paraId="695E1289" w14:textId="77777777" w:rsidTr="000A5229">
        <w:trPr>
          <w:trHeight w:val="604"/>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4FA147BB" w14:textId="77777777" w:rsidR="009F5F40" w:rsidRPr="009F5F40" w:rsidRDefault="009F5F40" w:rsidP="009F5F40">
            <w:pPr>
              <w:rPr>
                <w:rFonts w:cs="Arial"/>
                <w:color w:val="000000"/>
                <w:szCs w:val="24"/>
                <w:lang w:eastAsia="en-GB"/>
              </w:rPr>
            </w:pPr>
            <w:r w:rsidRPr="009F5F40">
              <w:rPr>
                <w:rFonts w:cs="Arial"/>
                <w:color w:val="000000"/>
                <w:szCs w:val="24"/>
                <w:lang w:eastAsia="en-GB"/>
              </w:rPr>
              <w:t>Environment &amp; Culture</w:t>
            </w:r>
          </w:p>
        </w:tc>
        <w:tc>
          <w:tcPr>
            <w:tcW w:w="1436" w:type="dxa"/>
            <w:tcBorders>
              <w:top w:val="nil"/>
              <w:left w:val="nil"/>
              <w:bottom w:val="single" w:sz="8" w:space="0" w:color="auto"/>
              <w:right w:val="single" w:sz="8" w:space="0" w:color="auto"/>
            </w:tcBorders>
            <w:shd w:val="clear" w:color="auto" w:fill="auto"/>
            <w:noWrap/>
            <w:vAlign w:val="center"/>
            <w:hideMark/>
          </w:tcPr>
          <w:p w14:paraId="7949BCE7" w14:textId="6FBDE834" w:rsidR="009F5F40" w:rsidRPr="009F5F40" w:rsidRDefault="009F5F40" w:rsidP="009F5F40">
            <w:pPr>
              <w:jc w:val="right"/>
              <w:rPr>
                <w:rFonts w:cs="Arial"/>
                <w:color w:val="000000"/>
                <w:szCs w:val="24"/>
                <w:lang w:eastAsia="en-GB"/>
              </w:rPr>
            </w:pPr>
            <w:r w:rsidRPr="009F5F40">
              <w:rPr>
                <w:rFonts w:cs="Arial"/>
                <w:color w:val="000000"/>
                <w:szCs w:val="24"/>
                <w:lang w:eastAsia="en-GB"/>
              </w:rPr>
              <w:t>1,2</w:t>
            </w:r>
            <w:r w:rsidR="008F511F">
              <w:rPr>
                <w:rFonts w:cs="Arial"/>
                <w:color w:val="000000"/>
                <w:szCs w:val="24"/>
                <w:lang w:eastAsia="en-GB"/>
              </w:rPr>
              <w:t>87</w:t>
            </w:r>
          </w:p>
        </w:tc>
        <w:tc>
          <w:tcPr>
            <w:tcW w:w="1436" w:type="dxa"/>
            <w:tcBorders>
              <w:top w:val="nil"/>
              <w:left w:val="nil"/>
              <w:bottom w:val="single" w:sz="8" w:space="0" w:color="auto"/>
              <w:right w:val="single" w:sz="8" w:space="0" w:color="auto"/>
            </w:tcBorders>
            <w:shd w:val="clear" w:color="auto" w:fill="auto"/>
            <w:vAlign w:val="center"/>
            <w:hideMark/>
          </w:tcPr>
          <w:p w14:paraId="1CE0E04F" w14:textId="0DC37C8A" w:rsidR="009F5F40" w:rsidRPr="009F5F40" w:rsidRDefault="00BF020B" w:rsidP="00BF020B">
            <w:pPr>
              <w:jc w:val="right"/>
              <w:rPr>
                <w:rFonts w:cs="Arial"/>
                <w:color w:val="000000"/>
                <w:szCs w:val="24"/>
                <w:lang w:eastAsia="en-GB"/>
              </w:rPr>
            </w:pPr>
            <w:r>
              <w:rPr>
                <w:rFonts w:cs="Arial"/>
                <w:color w:val="000000"/>
                <w:szCs w:val="24"/>
                <w:lang w:eastAsia="en-GB"/>
              </w:rPr>
              <w:t>1,204</w:t>
            </w:r>
          </w:p>
        </w:tc>
        <w:tc>
          <w:tcPr>
            <w:tcW w:w="1417" w:type="dxa"/>
            <w:tcBorders>
              <w:top w:val="nil"/>
              <w:left w:val="nil"/>
              <w:bottom w:val="single" w:sz="8" w:space="0" w:color="auto"/>
              <w:right w:val="single" w:sz="8" w:space="0" w:color="auto"/>
            </w:tcBorders>
            <w:shd w:val="clear" w:color="auto" w:fill="auto"/>
            <w:vAlign w:val="center"/>
            <w:hideMark/>
          </w:tcPr>
          <w:p w14:paraId="7A09E9DF" w14:textId="06933FF5" w:rsidR="009F5F40" w:rsidRPr="009F5F40" w:rsidRDefault="008F511F" w:rsidP="009F5F40">
            <w:pPr>
              <w:jc w:val="right"/>
              <w:rPr>
                <w:rFonts w:cs="Arial"/>
                <w:color w:val="000000"/>
                <w:szCs w:val="24"/>
                <w:lang w:eastAsia="en-GB"/>
              </w:rPr>
            </w:pPr>
            <w:r>
              <w:rPr>
                <w:rFonts w:cs="Arial"/>
                <w:color w:val="000000"/>
                <w:szCs w:val="24"/>
                <w:lang w:eastAsia="en-GB"/>
              </w:rPr>
              <w:t>83</w:t>
            </w:r>
          </w:p>
        </w:tc>
      </w:tr>
      <w:tr w:rsidR="009F5F40" w:rsidRPr="009F5F40" w14:paraId="3E1D7606" w14:textId="77777777" w:rsidTr="000A5229">
        <w:trPr>
          <w:trHeight w:val="604"/>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58F9FBA4" w14:textId="77777777" w:rsidR="009F5F40" w:rsidRPr="009F5F40" w:rsidRDefault="009F5F40" w:rsidP="009F5F40">
            <w:pPr>
              <w:rPr>
                <w:rFonts w:cs="Arial"/>
                <w:color w:val="000000"/>
                <w:szCs w:val="24"/>
                <w:lang w:eastAsia="en-GB"/>
              </w:rPr>
            </w:pPr>
            <w:r w:rsidRPr="009F5F40">
              <w:rPr>
                <w:rFonts w:cs="Arial"/>
                <w:color w:val="000000"/>
                <w:szCs w:val="24"/>
                <w:lang w:eastAsia="en-GB"/>
              </w:rPr>
              <w:t>Directorate Management</w:t>
            </w:r>
          </w:p>
        </w:tc>
        <w:tc>
          <w:tcPr>
            <w:tcW w:w="1436" w:type="dxa"/>
            <w:tcBorders>
              <w:top w:val="nil"/>
              <w:left w:val="nil"/>
              <w:bottom w:val="single" w:sz="8" w:space="0" w:color="auto"/>
              <w:right w:val="single" w:sz="8" w:space="0" w:color="auto"/>
            </w:tcBorders>
            <w:shd w:val="clear" w:color="auto" w:fill="auto"/>
            <w:noWrap/>
            <w:vAlign w:val="center"/>
            <w:hideMark/>
          </w:tcPr>
          <w:p w14:paraId="0937B5AC" w14:textId="5BADAA52" w:rsidR="009F5F40" w:rsidRPr="009F5F40" w:rsidRDefault="008F511F" w:rsidP="009F5F40">
            <w:pPr>
              <w:jc w:val="right"/>
              <w:rPr>
                <w:rFonts w:cs="Arial"/>
                <w:color w:val="000000"/>
                <w:szCs w:val="24"/>
                <w:lang w:eastAsia="en-GB"/>
              </w:rPr>
            </w:pPr>
            <w:r>
              <w:rPr>
                <w:rFonts w:cs="Arial"/>
                <w:color w:val="000000"/>
                <w:szCs w:val="24"/>
                <w:lang w:eastAsia="en-GB"/>
              </w:rPr>
              <w:t>(</w:t>
            </w:r>
            <w:r w:rsidR="009F5F40" w:rsidRPr="009F5F40">
              <w:rPr>
                <w:rFonts w:cs="Arial"/>
                <w:color w:val="000000"/>
                <w:szCs w:val="24"/>
                <w:lang w:eastAsia="en-GB"/>
              </w:rPr>
              <w:t>96</w:t>
            </w:r>
            <w:r>
              <w:rPr>
                <w:rFonts w:cs="Arial"/>
                <w:color w:val="000000"/>
                <w:szCs w:val="24"/>
                <w:lang w:eastAsia="en-GB"/>
              </w:rPr>
              <w:t>)</w:t>
            </w:r>
          </w:p>
        </w:tc>
        <w:tc>
          <w:tcPr>
            <w:tcW w:w="1436" w:type="dxa"/>
            <w:tcBorders>
              <w:top w:val="nil"/>
              <w:left w:val="nil"/>
              <w:bottom w:val="single" w:sz="8" w:space="0" w:color="auto"/>
              <w:right w:val="single" w:sz="8" w:space="0" w:color="auto"/>
            </w:tcBorders>
            <w:shd w:val="clear" w:color="auto" w:fill="auto"/>
            <w:vAlign w:val="center"/>
            <w:hideMark/>
          </w:tcPr>
          <w:p w14:paraId="39413AF6" w14:textId="322A1572" w:rsidR="009F5F40" w:rsidRPr="009F5F40" w:rsidRDefault="00BF020B" w:rsidP="009F5F40">
            <w:pPr>
              <w:jc w:val="right"/>
              <w:rPr>
                <w:rFonts w:cs="Arial"/>
                <w:color w:val="000000"/>
                <w:szCs w:val="24"/>
                <w:lang w:eastAsia="en-GB"/>
              </w:rPr>
            </w:pPr>
            <w:r>
              <w:rPr>
                <w:rFonts w:cs="Arial"/>
                <w:color w:val="000000"/>
                <w:szCs w:val="24"/>
                <w:lang w:eastAsia="en-GB"/>
              </w:rPr>
              <w:t>(96)</w:t>
            </w:r>
          </w:p>
        </w:tc>
        <w:tc>
          <w:tcPr>
            <w:tcW w:w="1417" w:type="dxa"/>
            <w:tcBorders>
              <w:top w:val="nil"/>
              <w:left w:val="nil"/>
              <w:bottom w:val="single" w:sz="8" w:space="0" w:color="auto"/>
              <w:right w:val="single" w:sz="8" w:space="0" w:color="auto"/>
            </w:tcBorders>
            <w:shd w:val="clear" w:color="auto" w:fill="auto"/>
            <w:vAlign w:val="center"/>
            <w:hideMark/>
          </w:tcPr>
          <w:p w14:paraId="167FC10B" w14:textId="33BA24AA" w:rsidR="009F5F40" w:rsidRPr="009F5F40" w:rsidRDefault="008F511F" w:rsidP="009F5F40">
            <w:pPr>
              <w:jc w:val="right"/>
              <w:rPr>
                <w:rFonts w:cs="Arial"/>
                <w:color w:val="000000"/>
                <w:szCs w:val="24"/>
                <w:lang w:eastAsia="en-GB"/>
              </w:rPr>
            </w:pPr>
            <w:r>
              <w:rPr>
                <w:rFonts w:cs="Arial"/>
                <w:color w:val="000000"/>
                <w:szCs w:val="24"/>
                <w:lang w:eastAsia="en-GB"/>
              </w:rPr>
              <w:t>0</w:t>
            </w:r>
          </w:p>
        </w:tc>
      </w:tr>
      <w:tr w:rsidR="009F5F40" w:rsidRPr="009F5F40" w14:paraId="0E7BED97" w14:textId="77777777" w:rsidTr="000A5229">
        <w:trPr>
          <w:trHeight w:val="604"/>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0B459269" w14:textId="77777777" w:rsidR="009F5F40" w:rsidRPr="009F5F40" w:rsidRDefault="009F5F40" w:rsidP="009F5F40">
            <w:pPr>
              <w:rPr>
                <w:rFonts w:cs="Arial"/>
                <w:color w:val="000000"/>
                <w:szCs w:val="24"/>
                <w:lang w:eastAsia="en-GB"/>
              </w:rPr>
            </w:pPr>
            <w:r w:rsidRPr="009F5F40">
              <w:rPr>
                <w:rFonts w:cs="Arial"/>
                <w:color w:val="000000"/>
                <w:szCs w:val="24"/>
                <w:lang w:eastAsia="en-GB"/>
              </w:rPr>
              <w:t>Housing General Fund</w:t>
            </w:r>
          </w:p>
        </w:tc>
        <w:tc>
          <w:tcPr>
            <w:tcW w:w="1436" w:type="dxa"/>
            <w:tcBorders>
              <w:top w:val="nil"/>
              <w:left w:val="nil"/>
              <w:bottom w:val="single" w:sz="8" w:space="0" w:color="auto"/>
              <w:right w:val="single" w:sz="8" w:space="0" w:color="auto"/>
            </w:tcBorders>
            <w:shd w:val="clear" w:color="auto" w:fill="auto"/>
            <w:noWrap/>
            <w:vAlign w:val="center"/>
            <w:hideMark/>
          </w:tcPr>
          <w:p w14:paraId="070E6B8A" w14:textId="6EC44EDA" w:rsidR="009F5F40" w:rsidRPr="009F5F40" w:rsidRDefault="008F511F" w:rsidP="009F5F40">
            <w:pPr>
              <w:jc w:val="right"/>
              <w:rPr>
                <w:rFonts w:cs="Arial"/>
                <w:color w:val="000000"/>
                <w:szCs w:val="24"/>
                <w:lang w:eastAsia="en-GB"/>
              </w:rPr>
            </w:pPr>
            <w:r>
              <w:rPr>
                <w:rFonts w:cs="Arial"/>
                <w:color w:val="000000"/>
                <w:szCs w:val="24"/>
                <w:lang w:eastAsia="en-GB"/>
              </w:rPr>
              <w:t>2,724</w:t>
            </w:r>
          </w:p>
        </w:tc>
        <w:tc>
          <w:tcPr>
            <w:tcW w:w="1436" w:type="dxa"/>
            <w:tcBorders>
              <w:top w:val="nil"/>
              <w:left w:val="nil"/>
              <w:bottom w:val="single" w:sz="8" w:space="0" w:color="auto"/>
              <w:right w:val="single" w:sz="8" w:space="0" w:color="auto"/>
            </w:tcBorders>
            <w:shd w:val="clear" w:color="auto" w:fill="auto"/>
            <w:vAlign w:val="center"/>
            <w:hideMark/>
          </w:tcPr>
          <w:p w14:paraId="4F4032BF" w14:textId="21DCA50A" w:rsidR="009F5F40" w:rsidRPr="009F5F40" w:rsidRDefault="00BF020B" w:rsidP="009F5F40">
            <w:pPr>
              <w:jc w:val="right"/>
              <w:rPr>
                <w:rFonts w:cs="Arial"/>
                <w:color w:val="000000"/>
                <w:szCs w:val="24"/>
                <w:lang w:eastAsia="en-GB"/>
              </w:rPr>
            </w:pPr>
            <w:r>
              <w:rPr>
                <w:rFonts w:cs="Arial"/>
                <w:color w:val="000000"/>
                <w:szCs w:val="24"/>
                <w:lang w:eastAsia="en-GB"/>
              </w:rPr>
              <w:t>2,996</w:t>
            </w:r>
          </w:p>
        </w:tc>
        <w:tc>
          <w:tcPr>
            <w:tcW w:w="1417" w:type="dxa"/>
            <w:tcBorders>
              <w:top w:val="nil"/>
              <w:left w:val="nil"/>
              <w:bottom w:val="single" w:sz="8" w:space="0" w:color="auto"/>
              <w:right w:val="single" w:sz="8" w:space="0" w:color="auto"/>
            </w:tcBorders>
            <w:shd w:val="clear" w:color="auto" w:fill="auto"/>
            <w:vAlign w:val="center"/>
            <w:hideMark/>
          </w:tcPr>
          <w:p w14:paraId="6CE7AA44" w14:textId="6792FDDF" w:rsidR="009F5F40" w:rsidRPr="009F5F40" w:rsidRDefault="008F511F" w:rsidP="009F5F40">
            <w:pPr>
              <w:jc w:val="right"/>
              <w:rPr>
                <w:rFonts w:cs="Arial"/>
                <w:color w:val="000000"/>
                <w:szCs w:val="24"/>
                <w:lang w:eastAsia="en-GB"/>
              </w:rPr>
            </w:pPr>
            <w:r>
              <w:rPr>
                <w:rFonts w:cs="Arial"/>
                <w:color w:val="000000"/>
                <w:szCs w:val="24"/>
                <w:lang w:eastAsia="en-GB"/>
              </w:rPr>
              <w:t>(272)</w:t>
            </w:r>
          </w:p>
        </w:tc>
      </w:tr>
      <w:tr w:rsidR="009F5F40" w:rsidRPr="009F5F40" w14:paraId="39D1A76E" w14:textId="77777777" w:rsidTr="000A5229">
        <w:trPr>
          <w:trHeight w:val="604"/>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43566923" w14:textId="77777777" w:rsidR="009F5F40" w:rsidRPr="009F5F40" w:rsidRDefault="009F5F40" w:rsidP="009F5F40">
            <w:pPr>
              <w:rPr>
                <w:rFonts w:cs="Arial"/>
                <w:color w:val="000000"/>
                <w:szCs w:val="24"/>
                <w:lang w:eastAsia="en-GB"/>
              </w:rPr>
            </w:pPr>
            <w:r w:rsidRPr="009F5F40">
              <w:rPr>
                <w:rFonts w:cs="Arial"/>
                <w:color w:val="000000"/>
                <w:szCs w:val="24"/>
                <w:lang w:eastAsia="en-GB"/>
              </w:rPr>
              <w:t>One off in-year mitigations</w:t>
            </w:r>
          </w:p>
        </w:tc>
        <w:tc>
          <w:tcPr>
            <w:tcW w:w="1436" w:type="dxa"/>
            <w:tcBorders>
              <w:top w:val="nil"/>
              <w:left w:val="nil"/>
              <w:bottom w:val="single" w:sz="8" w:space="0" w:color="auto"/>
              <w:right w:val="single" w:sz="8" w:space="0" w:color="auto"/>
            </w:tcBorders>
            <w:shd w:val="clear" w:color="auto" w:fill="auto"/>
            <w:noWrap/>
            <w:vAlign w:val="center"/>
            <w:hideMark/>
          </w:tcPr>
          <w:p w14:paraId="650C2ECB" w14:textId="1048CDFC" w:rsidR="009F5F40" w:rsidRPr="009F5F40" w:rsidRDefault="008F511F" w:rsidP="009F5F40">
            <w:pPr>
              <w:jc w:val="right"/>
              <w:rPr>
                <w:rFonts w:cs="Arial"/>
                <w:color w:val="000000"/>
                <w:szCs w:val="24"/>
                <w:lang w:eastAsia="en-GB"/>
              </w:rPr>
            </w:pPr>
            <w:r>
              <w:rPr>
                <w:rFonts w:cs="Arial"/>
                <w:color w:val="000000"/>
                <w:szCs w:val="24"/>
                <w:lang w:eastAsia="en-GB"/>
              </w:rPr>
              <w:t>(418)</w:t>
            </w:r>
          </w:p>
        </w:tc>
        <w:tc>
          <w:tcPr>
            <w:tcW w:w="1436" w:type="dxa"/>
            <w:tcBorders>
              <w:top w:val="nil"/>
              <w:left w:val="nil"/>
              <w:bottom w:val="single" w:sz="8" w:space="0" w:color="auto"/>
              <w:right w:val="single" w:sz="8" w:space="0" w:color="auto"/>
            </w:tcBorders>
            <w:shd w:val="clear" w:color="auto" w:fill="auto"/>
            <w:vAlign w:val="center"/>
            <w:hideMark/>
          </w:tcPr>
          <w:p w14:paraId="1F6BFBBD" w14:textId="248BF8CF" w:rsidR="009F5F40" w:rsidRPr="009F5F40" w:rsidRDefault="009F5F40" w:rsidP="009F5F40">
            <w:pPr>
              <w:rPr>
                <w:rFonts w:cs="Arial"/>
                <w:color w:val="000000"/>
                <w:szCs w:val="24"/>
                <w:lang w:eastAsia="en-GB"/>
              </w:rPr>
            </w:pPr>
            <w:r w:rsidRPr="009F5F40">
              <w:rPr>
                <w:rFonts w:cs="Arial"/>
                <w:color w:val="000000"/>
                <w:szCs w:val="24"/>
                <w:lang w:eastAsia="en-GB"/>
              </w:rPr>
              <w:t> </w:t>
            </w:r>
            <w:r w:rsidR="00BF020B">
              <w:rPr>
                <w:rFonts w:cs="Arial"/>
                <w:color w:val="000000"/>
                <w:szCs w:val="24"/>
                <w:lang w:eastAsia="en-GB"/>
              </w:rPr>
              <w:t xml:space="preserve">        (418)</w:t>
            </w:r>
          </w:p>
        </w:tc>
        <w:tc>
          <w:tcPr>
            <w:tcW w:w="1417" w:type="dxa"/>
            <w:tcBorders>
              <w:top w:val="nil"/>
              <w:left w:val="nil"/>
              <w:bottom w:val="single" w:sz="8" w:space="0" w:color="auto"/>
              <w:right w:val="single" w:sz="8" w:space="0" w:color="auto"/>
            </w:tcBorders>
            <w:shd w:val="clear" w:color="auto" w:fill="auto"/>
            <w:vAlign w:val="center"/>
            <w:hideMark/>
          </w:tcPr>
          <w:p w14:paraId="0CA53AE9" w14:textId="76E1C627" w:rsidR="009F5F40" w:rsidRPr="009F5F40" w:rsidRDefault="008F511F" w:rsidP="009F5F40">
            <w:pPr>
              <w:jc w:val="right"/>
              <w:rPr>
                <w:rFonts w:cs="Arial"/>
                <w:color w:val="000000"/>
                <w:szCs w:val="24"/>
                <w:lang w:eastAsia="en-GB"/>
              </w:rPr>
            </w:pPr>
            <w:r>
              <w:rPr>
                <w:rFonts w:cs="Arial"/>
                <w:color w:val="000000"/>
                <w:szCs w:val="24"/>
                <w:lang w:eastAsia="en-GB"/>
              </w:rPr>
              <w:t>0</w:t>
            </w:r>
          </w:p>
        </w:tc>
      </w:tr>
      <w:tr w:rsidR="009F5F40" w:rsidRPr="009F5F40" w14:paraId="278E748F" w14:textId="77777777" w:rsidTr="00B672AF">
        <w:trPr>
          <w:trHeight w:val="57"/>
        </w:trPr>
        <w:tc>
          <w:tcPr>
            <w:tcW w:w="2702" w:type="dxa"/>
            <w:tcBorders>
              <w:top w:val="nil"/>
              <w:left w:val="single" w:sz="8" w:space="0" w:color="auto"/>
              <w:bottom w:val="double" w:sz="6" w:space="0" w:color="auto"/>
              <w:right w:val="single" w:sz="8" w:space="0" w:color="auto"/>
            </w:tcBorders>
            <w:shd w:val="clear" w:color="auto" w:fill="auto"/>
            <w:vAlign w:val="center"/>
            <w:hideMark/>
          </w:tcPr>
          <w:p w14:paraId="3B10F5F0" w14:textId="77777777" w:rsidR="009F5F40" w:rsidRPr="009F5F40" w:rsidRDefault="009F5F40" w:rsidP="009F5F40">
            <w:pPr>
              <w:rPr>
                <w:rFonts w:cs="Arial"/>
                <w:color w:val="000000"/>
                <w:szCs w:val="24"/>
                <w:lang w:eastAsia="en-GB"/>
              </w:rPr>
            </w:pPr>
            <w:r w:rsidRPr="009F5F40">
              <w:rPr>
                <w:rFonts w:cs="Arial"/>
                <w:color w:val="000000"/>
                <w:szCs w:val="24"/>
                <w:lang w:eastAsia="en-GB"/>
              </w:rPr>
              <w:t>Total</w:t>
            </w:r>
          </w:p>
        </w:tc>
        <w:tc>
          <w:tcPr>
            <w:tcW w:w="1436" w:type="dxa"/>
            <w:tcBorders>
              <w:top w:val="nil"/>
              <w:left w:val="nil"/>
              <w:bottom w:val="double" w:sz="6" w:space="0" w:color="auto"/>
              <w:right w:val="single" w:sz="8" w:space="0" w:color="auto"/>
            </w:tcBorders>
            <w:shd w:val="clear" w:color="auto" w:fill="auto"/>
            <w:noWrap/>
            <w:vAlign w:val="center"/>
            <w:hideMark/>
          </w:tcPr>
          <w:p w14:paraId="14B7BCE6" w14:textId="0151A587" w:rsidR="009F5F40" w:rsidRPr="009F5F40" w:rsidRDefault="009F5F40" w:rsidP="009F5F40">
            <w:pPr>
              <w:jc w:val="right"/>
              <w:rPr>
                <w:rFonts w:cs="Arial"/>
                <w:color w:val="000000"/>
                <w:szCs w:val="24"/>
                <w:lang w:eastAsia="en-GB"/>
              </w:rPr>
            </w:pPr>
            <w:r w:rsidRPr="009F5F40">
              <w:rPr>
                <w:rFonts w:cs="Arial"/>
                <w:color w:val="000000"/>
                <w:szCs w:val="24"/>
                <w:lang w:eastAsia="en-GB"/>
              </w:rPr>
              <w:t>3,</w:t>
            </w:r>
            <w:r w:rsidR="008F511F">
              <w:rPr>
                <w:rFonts w:cs="Arial"/>
                <w:color w:val="000000"/>
                <w:szCs w:val="24"/>
                <w:lang w:eastAsia="en-GB"/>
              </w:rPr>
              <w:t>079</w:t>
            </w:r>
          </w:p>
        </w:tc>
        <w:tc>
          <w:tcPr>
            <w:tcW w:w="1436" w:type="dxa"/>
            <w:tcBorders>
              <w:top w:val="nil"/>
              <w:left w:val="nil"/>
              <w:bottom w:val="double" w:sz="6" w:space="0" w:color="auto"/>
              <w:right w:val="single" w:sz="8" w:space="0" w:color="auto"/>
            </w:tcBorders>
            <w:shd w:val="clear" w:color="auto" w:fill="auto"/>
            <w:vAlign w:val="center"/>
            <w:hideMark/>
          </w:tcPr>
          <w:p w14:paraId="67D68CAF" w14:textId="5D8CAC79" w:rsidR="009F5F40" w:rsidRPr="009F5F40" w:rsidRDefault="009F5F40" w:rsidP="00BF020B">
            <w:pPr>
              <w:jc w:val="right"/>
              <w:rPr>
                <w:rFonts w:cs="Arial"/>
                <w:color w:val="000000"/>
                <w:szCs w:val="24"/>
                <w:lang w:eastAsia="en-GB"/>
              </w:rPr>
            </w:pPr>
            <w:r w:rsidRPr="009F5F40">
              <w:rPr>
                <w:rFonts w:cs="Arial"/>
                <w:color w:val="000000"/>
                <w:szCs w:val="24"/>
                <w:lang w:eastAsia="en-GB"/>
              </w:rPr>
              <w:t>3,</w:t>
            </w:r>
            <w:r w:rsidR="00BF020B">
              <w:rPr>
                <w:rFonts w:cs="Arial"/>
                <w:color w:val="000000"/>
                <w:szCs w:val="24"/>
                <w:lang w:eastAsia="en-GB"/>
              </w:rPr>
              <w:t>276</w:t>
            </w:r>
          </w:p>
        </w:tc>
        <w:tc>
          <w:tcPr>
            <w:tcW w:w="1417" w:type="dxa"/>
            <w:tcBorders>
              <w:top w:val="nil"/>
              <w:left w:val="nil"/>
              <w:bottom w:val="double" w:sz="6" w:space="0" w:color="auto"/>
              <w:right w:val="single" w:sz="8" w:space="0" w:color="auto"/>
            </w:tcBorders>
            <w:shd w:val="clear" w:color="auto" w:fill="auto"/>
            <w:vAlign w:val="center"/>
            <w:hideMark/>
          </w:tcPr>
          <w:p w14:paraId="2CDFFA34" w14:textId="52E6F0DE" w:rsidR="009F5F40" w:rsidRPr="009F5F40" w:rsidRDefault="008F511F" w:rsidP="009F5F40">
            <w:pPr>
              <w:jc w:val="right"/>
              <w:rPr>
                <w:rFonts w:cs="Arial"/>
                <w:color w:val="000000"/>
                <w:szCs w:val="24"/>
                <w:lang w:eastAsia="en-GB"/>
              </w:rPr>
            </w:pPr>
            <w:r>
              <w:rPr>
                <w:rFonts w:cs="Arial"/>
                <w:color w:val="000000"/>
                <w:szCs w:val="24"/>
                <w:lang w:eastAsia="en-GB"/>
              </w:rPr>
              <w:t>(197)</w:t>
            </w:r>
          </w:p>
        </w:tc>
      </w:tr>
    </w:tbl>
    <w:p w14:paraId="16569F9F" w14:textId="77777777" w:rsidR="00FE0B00" w:rsidRDefault="00FE0B00" w:rsidP="00D90114">
      <w:pPr>
        <w:spacing w:after="120"/>
      </w:pPr>
    </w:p>
    <w:p w14:paraId="3994E77E" w14:textId="3B4610CD" w:rsidR="000A5229" w:rsidRDefault="000A5229" w:rsidP="0039654F">
      <w:pPr>
        <w:pStyle w:val="ListParagraph"/>
        <w:numPr>
          <w:ilvl w:val="1"/>
          <w:numId w:val="32"/>
        </w:numPr>
        <w:spacing w:after="120"/>
        <w:ind w:hanging="689"/>
        <w:jc w:val="both"/>
        <w:rPr>
          <w:bCs/>
        </w:rPr>
      </w:pPr>
      <w:r w:rsidRPr="000A5229">
        <w:rPr>
          <w:bCs/>
          <w:lang w:val="en-US"/>
        </w:rPr>
        <w:t xml:space="preserve">The favorable movements from Quarter </w:t>
      </w:r>
      <w:r w:rsidR="008F511F">
        <w:rPr>
          <w:bCs/>
          <w:lang w:val="en-US"/>
        </w:rPr>
        <w:t>2</w:t>
      </w:r>
      <w:r w:rsidRPr="000A5229">
        <w:rPr>
          <w:bCs/>
          <w:lang w:val="en-US"/>
        </w:rPr>
        <w:t xml:space="preserve"> to Quarter </w:t>
      </w:r>
      <w:r w:rsidR="008F511F">
        <w:rPr>
          <w:bCs/>
          <w:lang w:val="en-US"/>
        </w:rPr>
        <w:t>3</w:t>
      </w:r>
      <w:r w:rsidRPr="000A5229">
        <w:rPr>
          <w:bCs/>
          <w:lang w:val="en-US"/>
        </w:rPr>
        <w:t xml:space="preserve"> relate to an improvement in the </w:t>
      </w:r>
      <w:r w:rsidR="000937DA">
        <w:rPr>
          <w:bCs/>
          <w:lang w:val="en-US"/>
        </w:rPr>
        <w:t xml:space="preserve">homelessness </w:t>
      </w:r>
      <w:r w:rsidRPr="000A5229">
        <w:rPr>
          <w:bCs/>
          <w:lang w:val="en-US"/>
        </w:rPr>
        <w:t xml:space="preserve">pressures of </w:t>
      </w:r>
      <w:r w:rsidR="009C512C">
        <w:rPr>
          <w:bCs/>
          <w:lang w:val="en-US"/>
        </w:rPr>
        <w:t>(</w:t>
      </w:r>
      <w:r w:rsidR="008F511F">
        <w:rPr>
          <w:b/>
          <w:bCs/>
          <w:lang w:val="en-US"/>
        </w:rPr>
        <w:t>£272</w:t>
      </w:r>
      <w:r w:rsidRPr="009C512C">
        <w:rPr>
          <w:b/>
          <w:bCs/>
          <w:lang w:val="en-US"/>
        </w:rPr>
        <w:t>k</w:t>
      </w:r>
      <w:r w:rsidR="009C512C">
        <w:rPr>
          <w:b/>
          <w:bCs/>
          <w:lang w:val="en-US"/>
        </w:rPr>
        <w:t>)</w:t>
      </w:r>
      <w:r w:rsidRPr="000A5229">
        <w:rPr>
          <w:bCs/>
          <w:lang w:val="en-US"/>
        </w:rPr>
        <w:t xml:space="preserve">, which is partially offset by the net additional costs of arts &amp; heritage services </w:t>
      </w:r>
      <w:r w:rsidR="008F511F">
        <w:rPr>
          <w:b/>
          <w:bCs/>
          <w:lang w:val="en-US"/>
        </w:rPr>
        <w:t>£68</w:t>
      </w:r>
      <w:r w:rsidRPr="009C512C">
        <w:rPr>
          <w:b/>
          <w:bCs/>
          <w:lang w:val="en-US"/>
        </w:rPr>
        <w:t>k</w:t>
      </w:r>
      <w:r w:rsidR="008F511F">
        <w:rPr>
          <w:b/>
          <w:bCs/>
          <w:lang w:val="en-US"/>
        </w:rPr>
        <w:t xml:space="preserve"> </w:t>
      </w:r>
      <w:r w:rsidR="008F511F">
        <w:rPr>
          <w:bCs/>
          <w:lang w:val="en-US"/>
        </w:rPr>
        <w:t xml:space="preserve">and delay in transfer of North Harrow Library </w:t>
      </w:r>
      <w:r w:rsidR="008F511F" w:rsidRPr="008F511F">
        <w:rPr>
          <w:b/>
          <w:bCs/>
          <w:lang w:val="en-US"/>
        </w:rPr>
        <w:t>£7k</w:t>
      </w:r>
      <w:r w:rsidR="008F511F">
        <w:rPr>
          <w:bCs/>
          <w:lang w:val="en-US"/>
        </w:rPr>
        <w:t>.</w:t>
      </w:r>
    </w:p>
    <w:p w14:paraId="5AF200B1" w14:textId="77777777" w:rsidR="0079266E" w:rsidRPr="00D537F6" w:rsidRDefault="0079266E" w:rsidP="008D06CF">
      <w:pPr>
        <w:pStyle w:val="ListParagraph"/>
        <w:numPr>
          <w:ilvl w:val="1"/>
          <w:numId w:val="32"/>
        </w:numPr>
        <w:spacing w:after="120"/>
        <w:ind w:hanging="689"/>
        <w:jc w:val="both"/>
        <w:rPr>
          <w:bCs/>
        </w:rPr>
      </w:pPr>
      <w:r w:rsidRPr="00D537F6">
        <w:rPr>
          <w:bCs/>
          <w:lang w:val="en-US"/>
        </w:rPr>
        <w:t xml:space="preserve">Environment’s overspend relates to an amber rated MTFS saving associated with the changes of garden and food waste collection system.  </w:t>
      </w:r>
      <w:r w:rsidRPr="00D537F6">
        <w:rPr>
          <w:bCs/>
        </w:rPr>
        <w:t xml:space="preserve">There is a forecast pressure of </w:t>
      </w:r>
      <w:r w:rsidRPr="00D537F6">
        <w:rPr>
          <w:b/>
          <w:bCs/>
        </w:rPr>
        <w:t xml:space="preserve">£1.3m </w:t>
      </w:r>
      <w:r w:rsidRPr="00D537F6">
        <w:rPr>
          <w:bCs/>
        </w:rPr>
        <w:t xml:space="preserve">on this MTFS saving relating to an income shortfall of £0.5m against the original target for garden waste (which was set prior to the final agreed regime for garden waste service), additional operational costs of £0.8m due to </w:t>
      </w:r>
      <w:r w:rsidRPr="00D537F6">
        <w:rPr>
          <w:bCs/>
        </w:rPr>
        <w:lastRenderedPageBreak/>
        <w:t>more crews deployed than anticipated as a result of on-going IT issues, and additional Access Harrow staffing. Management actions are being undertaken to address this pressure and these include route optimisation, the review of administrative support and recycling campaigns.</w:t>
      </w:r>
    </w:p>
    <w:p w14:paraId="48501255" w14:textId="5612D531" w:rsidR="0079266E" w:rsidRPr="00D537F6" w:rsidRDefault="0079266E" w:rsidP="00515CBD">
      <w:pPr>
        <w:pStyle w:val="ListParagraph"/>
        <w:numPr>
          <w:ilvl w:val="1"/>
          <w:numId w:val="32"/>
        </w:numPr>
        <w:spacing w:after="120"/>
        <w:ind w:hanging="689"/>
        <w:jc w:val="both"/>
        <w:rPr>
          <w:bCs/>
        </w:rPr>
      </w:pPr>
      <w:r w:rsidRPr="00D537F6">
        <w:rPr>
          <w:bCs/>
        </w:rPr>
        <w:t xml:space="preserve">A pressure of </w:t>
      </w:r>
      <w:r w:rsidRPr="00D537F6">
        <w:rPr>
          <w:b/>
          <w:bCs/>
        </w:rPr>
        <w:t>£0.936m</w:t>
      </w:r>
      <w:r w:rsidRPr="00D537F6">
        <w:rPr>
          <w:bCs/>
        </w:rPr>
        <w:t xml:space="preserve"> is forecast for Arts and Heritage service following a decision to explore further options for the arts centre at Quarter 2. Of this, </w:t>
      </w:r>
      <w:r w:rsidR="002C463F">
        <w:rPr>
          <w:bCs/>
        </w:rPr>
        <w:t>(</w:t>
      </w:r>
      <w:r w:rsidRPr="00D537F6">
        <w:rPr>
          <w:b/>
          <w:bCs/>
        </w:rPr>
        <w:t>£170k</w:t>
      </w:r>
      <w:r w:rsidR="002C463F">
        <w:rPr>
          <w:b/>
          <w:bCs/>
        </w:rPr>
        <w:t>)</w:t>
      </w:r>
      <w:r w:rsidRPr="00D537F6">
        <w:rPr>
          <w:bCs/>
        </w:rPr>
        <w:t xml:space="preserve"> costs are to be met by T</w:t>
      </w:r>
      <w:r w:rsidR="000937DA">
        <w:rPr>
          <w:bCs/>
        </w:rPr>
        <w:t xml:space="preserve">ransformation </w:t>
      </w:r>
      <w:r w:rsidRPr="00D537F6">
        <w:rPr>
          <w:bCs/>
        </w:rPr>
        <w:t>P</w:t>
      </w:r>
      <w:r w:rsidR="000937DA">
        <w:rPr>
          <w:bCs/>
        </w:rPr>
        <w:t xml:space="preserve">riority </w:t>
      </w:r>
      <w:r w:rsidRPr="00D537F6">
        <w:rPr>
          <w:bCs/>
        </w:rPr>
        <w:t>I</w:t>
      </w:r>
      <w:r w:rsidR="000937DA">
        <w:rPr>
          <w:bCs/>
        </w:rPr>
        <w:t xml:space="preserve">nitiative </w:t>
      </w:r>
      <w:r w:rsidRPr="00D537F6">
        <w:rPr>
          <w:bCs/>
        </w:rPr>
        <w:t>F</w:t>
      </w:r>
      <w:r w:rsidR="000937DA">
        <w:rPr>
          <w:bCs/>
        </w:rPr>
        <w:t>und</w:t>
      </w:r>
      <w:r w:rsidR="002723EE">
        <w:rPr>
          <w:bCs/>
        </w:rPr>
        <w:t>.</w:t>
      </w:r>
      <w:r w:rsidRPr="00D537F6">
        <w:rPr>
          <w:bCs/>
        </w:rPr>
        <w:t xml:space="preserve">  An over spend on Libraries &amp; Leisure of </w:t>
      </w:r>
      <w:r w:rsidRPr="00D537F6">
        <w:rPr>
          <w:b/>
          <w:bCs/>
        </w:rPr>
        <w:t>£129k</w:t>
      </w:r>
      <w:r w:rsidRPr="00D537F6">
        <w:rPr>
          <w:bCs/>
        </w:rPr>
        <w:t xml:space="preserve"> is also reported mainly relating to £73k additional costs of libraries contract due to contract indexation uplift and £30k associated with the delay in the transfer of North Harrow Library.</w:t>
      </w:r>
    </w:p>
    <w:p w14:paraId="0A3030E5" w14:textId="77777777" w:rsidR="008C0CCD" w:rsidRDefault="00E37974" w:rsidP="00515CBD">
      <w:pPr>
        <w:pStyle w:val="ListParagraph"/>
        <w:numPr>
          <w:ilvl w:val="1"/>
          <w:numId w:val="32"/>
        </w:numPr>
        <w:spacing w:after="120"/>
        <w:ind w:hanging="689"/>
        <w:jc w:val="both"/>
        <w:rPr>
          <w:bCs/>
          <w:lang w:val="en-US"/>
        </w:rPr>
      </w:pPr>
      <w:r w:rsidRPr="00D537F6">
        <w:rPr>
          <w:bCs/>
          <w:lang w:val="en-US"/>
        </w:rPr>
        <w:t xml:space="preserve">The over spends have been partially offset by </w:t>
      </w:r>
      <w:r w:rsidR="008C0CCD">
        <w:rPr>
          <w:bCs/>
          <w:lang w:val="en-US"/>
        </w:rPr>
        <w:t>(£1.422m)  as detailed below:</w:t>
      </w:r>
    </w:p>
    <w:p w14:paraId="7F15B498" w14:textId="77777777" w:rsidR="008C0CCD" w:rsidRDefault="008C0CCD" w:rsidP="008C0CCD">
      <w:pPr>
        <w:pStyle w:val="ListParagraph"/>
        <w:numPr>
          <w:ilvl w:val="2"/>
          <w:numId w:val="32"/>
        </w:numPr>
        <w:spacing w:after="120"/>
        <w:ind w:left="1418" w:hanging="709"/>
        <w:jc w:val="both"/>
        <w:rPr>
          <w:bCs/>
          <w:lang w:val="en-US"/>
        </w:rPr>
      </w:pPr>
      <w:r>
        <w:rPr>
          <w:bCs/>
          <w:lang w:val="en-US"/>
        </w:rPr>
        <w:t>A</w:t>
      </w:r>
      <w:r w:rsidR="00E37974" w:rsidRPr="00D537F6">
        <w:rPr>
          <w:bCs/>
          <w:lang w:val="en-US"/>
        </w:rPr>
        <w:t xml:space="preserve"> one-off saving of </w:t>
      </w:r>
      <w:r w:rsidR="00E37974" w:rsidRPr="00D537F6">
        <w:rPr>
          <w:b/>
          <w:bCs/>
          <w:lang w:val="en-US"/>
        </w:rPr>
        <w:t>(£0.77m)</w:t>
      </w:r>
      <w:r w:rsidR="00E37974" w:rsidRPr="00D537F6">
        <w:rPr>
          <w:bCs/>
          <w:lang w:val="en-US"/>
        </w:rPr>
        <w:t xml:space="preserve"> ide</w:t>
      </w:r>
      <w:r>
        <w:rPr>
          <w:bCs/>
          <w:lang w:val="en-US"/>
        </w:rPr>
        <w:t>ntified on waste disposal costs.</w:t>
      </w:r>
    </w:p>
    <w:p w14:paraId="72C27BC9" w14:textId="4DAD8A7F" w:rsidR="00E37974" w:rsidRPr="00D537F6" w:rsidRDefault="008C0CCD" w:rsidP="008C0CCD">
      <w:pPr>
        <w:pStyle w:val="ListParagraph"/>
        <w:numPr>
          <w:ilvl w:val="2"/>
          <w:numId w:val="32"/>
        </w:numPr>
        <w:spacing w:after="120"/>
        <w:ind w:left="1418" w:hanging="709"/>
        <w:jc w:val="both"/>
        <w:rPr>
          <w:bCs/>
          <w:lang w:val="en-US"/>
        </w:rPr>
      </w:pPr>
      <w:r>
        <w:rPr>
          <w:bCs/>
          <w:lang w:val="en-US"/>
        </w:rPr>
        <w:t xml:space="preserve"> The </w:t>
      </w:r>
      <w:r w:rsidR="00E37974" w:rsidRPr="00D537F6">
        <w:rPr>
          <w:bCs/>
          <w:lang w:val="en-US"/>
        </w:rPr>
        <w:t xml:space="preserve">forecast overachievement of income of </w:t>
      </w:r>
      <w:r w:rsidR="00E37974" w:rsidRPr="00D537F6">
        <w:rPr>
          <w:b/>
          <w:bCs/>
          <w:lang w:val="en-US"/>
        </w:rPr>
        <w:t>(£0.652m)</w:t>
      </w:r>
      <w:r w:rsidR="00E37974" w:rsidRPr="00D537F6">
        <w:rPr>
          <w:bCs/>
          <w:lang w:val="en-US"/>
        </w:rPr>
        <w:t xml:space="preserve">, consisting of one off (£0.5m) income from Parking as a result of a change in accounting policy, (£188k) additional income from HRA and (£126k) one off additional income from cemeteries.  These have been partially offset by a £62k shortfall in car park income due to closure of </w:t>
      </w:r>
      <w:proofErr w:type="spellStart"/>
      <w:r w:rsidR="00E37974" w:rsidRPr="00D537F6">
        <w:rPr>
          <w:bCs/>
          <w:lang w:val="en-US"/>
        </w:rPr>
        <w:t>Gayton</w:t>
      </w:r>
      <w:proofErr w:type="spellEnd"/>
      <w:r w:rsidR="00E37974" w:rsidRPr="00D537F6">
        <w:rPr>
          <w:bCs/>
          <w:lang w:val="en-US"/>
        </w:rPr>
        <w:t xml:space="preserve"> Road Car Park and £22k shortfall on Civic Amenity site income and £78k shortfall on waste services income.</w:t>
      </w:r>
    </w:p>
    <w:p w14:paraId="45155ED9" w14:textId="63DAB715" w:rsidR="00E37974" w:rsidRDefault="00E37974" w:rsidP="00515CBD">
      <w:pPr>
        <w:pStyle w:val="ListParagraph"/>
        <w:numPr>
          <w:ilvl w:val="1"/>
          <w:numId w:val="32"/>
        </w:numPr>
        <w:spacing w:after="120"/>
        <w:ind w:left="709" w:hanging="709"/>
        <w:jc w:val="both"/>
        <w:rPr>
          <w:bCs/>
        </w:rPr>
      </w:pPr>
      <w:r w:rsidRPr="00E37974">
        <w:rPr>
          <w:bCs/>
        </w:rPr>
        <w:t xml:space="preserve">A significant amount of the forecast pressure - </w:t>
      </w:r>
      <w:r w:rsidRPr="00E37974">
        <w:rPr>
          <w:b/>
          <w:bCs/>
        </w:rPr>
        <w:t>£2.5m</w:t>
      </w:r>
      <w:r w:rsidRPr="00E37974">
        <w:rPr>
          <w:bCs/>
        </w:rPr>
        <w:t xml:space="preserve"> relates to homelessness. The combined impact of a shortage of affordable accommodation in London, rapidly increasing rents in the private rented sector and the Government’s welfare reforms continue to place pressure on household incomes, which has driven extraordinary growth in the number of families becoming homeless across London. Homelessness prevention initiatives are, however, becoming increasingly successful, and as a result the forecast pressure has now started to reduce. </w:t>
      </w:r>
    </w:p>
    <w:p w14:paraId="6636AA40" w14:textId="0C26479F" w:rsidR="00D57576" w:rsidRDefault="00D57576" w:rsidP="00D57576">
      <w:pPr>
        <w:pStyle w:val="ListParagraph"/>
        <w:numPr>
          <w:ilvl w:val="1"/>
          <w:numId w:val="32"/>
        </w:numPr>
        <w:spacing w:after="120"/>
        <w:ind w:left="709" w:hanging="709"/>
        <w:jc w:val="both"/>
        <w:rPr>
          <w:bCs/>
        </w:rPr>
      </w:pPr>
      <w:r>
        <w:rPr>
          <w:bCs/>
        </w:rPr>
        <w:t>For 2017/18 the</w:t>
      </w:r>
      <w:r w:rsidRPr="00D57576">
        <w:rPr>
          <w:bCs/>
        </w:rPr>
        <w:t xml:space="preserve"> Council will need to consider any implications arising from the proposed Homelessness Prevention Bill which is expected to result in significant extra staffing costs in respect of prevention and administration activities</w:t>
      </w:r>
      <w:r>
        <w:rPr>
          <w:bCs/>
        </w:rPr>
        <w:t>.</w:t>
      </w:r>
      <w:r w:rsidRPr="00D57576">
        <w:rPr>
          <w:bCs/>
        </w:rPr>
        <w:t xml:space="preserve"> </w:t>
      </w:r>
      <w:r>
        <w:rPr>
          <w:bCs/>
        </w:rPr>
        <w:t>A</w:t>
      </w:r>
      <w:r w:rsidRPr="00D57576">
        <w:rPr>
          <w:bCs/>
        </w:rPr>
        <w:t>lthough every effort will be made to contain the pressures within the growth added to the budget for 2017/18, its adequacy will have to be kept under review.  This also applies to the on</w:t>
      </w:r>
      <w:r>
        <w:rPr>
          <w:bCs/>
        </w:rPr>
        <w:t>-</w:t>
      </w:r>
      <w:r w:rsidRPr="00D57576">
        <w:rPr>
          <w:bCs/>
        </w:rPr>
        <w:t>going effects of the Government’s Welfare Reforms</w:t>
      </w:r>
      <w:r>
        <w:rPr>
          <w:bCs/>
        </w:rPr>
        <w:t>.</w:t>
      </w:r>
      <w:r w:rsidRPr="00D57576">
        <w:rPr>
          <w:rFonts w:cs="Arial"/>
          <w:i/>
          <w:iCs/>
          <w:color w:val="002060"/>
        </w:rPr>
        <w:t xml:space="preserve"> </w:t>
      </w:r>
      <w:r w:rsidRPr="00D57576">
        <w:rPr>
          <w:bCs/>
        </w:rPr>
        <w:t>The subsidy payments for Temporary Accommodation costs are changing from 1/4/2017, b</w:t>
      </w:r>
      <w:r w:rsidR="003E4312">
        <w:rPr>
          <w:bCs/>
        </w:rPr>
        <w:t xml:space="preserve">ut the government has </w:t>
      </w:r>
      <w:r w:rsidRPr="00D57576">
        <w:rPr>
          <w:bCs/>
        </w:rPr>
        <w:t>yet</w:t>
      </w:r>
      <w:r w:rsidR="003E4312">
        <w:rPr>
          <w:bCs/>
        </w:rPr>
        <w:t xml:space="preserve"> to issue the</w:t>
      </w:r>
      <w:r w:rsidRPr="00D57576">
        <w:rPr>
          <w:bCs/>
        </w:rPr>
        <w:t xml:space="preserve"> guidance.  We have been assured that we will receive as much subsidy in </w:t>
      </w:r>
      <w:r w:rsidR="003E4312">
        <w:rPr>
          <w:bCs/>
        </w:rPr>
        <w:t>20</w:t>
      </w:r>
      <w:r w:rsidR="00BE3D10">
        <w:rPr>
          <w:bCs/>
        </w:rPr>
        <w:t>17/</w:t>
      </w:r>
      <w:r w:rsidRPr="00D57576">
        <w:rPr>
          <w:bCs/>
        </w:rPr>
        <w:t xml:space="preserve">18 as we got in </w:t>
      </w:r>
      <w:r w:rsidR="003E4312">
        <w:rPr>
          <w:bCs/>
        </w:rPr>
        <w:t>20</w:t>
      </w:r>
      <w:r w:rsidR="00BE3D10">
        <w:rPr>
          <w:bCs/>
        </w:rPr>
        <w:t>16/</w:t>
      </w:r>
      <w:r w:rsidRPr="00D57576">
        <w:rPr>
          <w:bCs/>
        </w:rPr>
        <w:t>17.  The government is currently undertaking calculations but any shortfall in subsidy funding will give rise to a further budget pressure</w:t>
      </w:r>
      <w:r>
        <w:rPr>
          <w:bCs/>
        </w:rPr>
        <w:t>.</w:t>
      </w:r>
    </w:p>
    <w:p w14:paraId="43B6E551" w14:textId="487AE984" w:rsidR="00EB50F9" w:rsidRDefault="00EB50F9" w:rsidP="00515CBD">
      <w:pPr>
        <w:pStyle w:val="ListParagraph"/>
        <w:numPr>
          <w:ilvl w:val="1"/>
          <w:numId w:val="32"/>
        </w:numPr>
        <w:spacing w:after="120"/>
        <w:ind w:left="709" w:hanging="709"/>
        <w:jc w:val="both"/>
        <w:rPr>
          <w:bCs/>
        </w:rPr>
      </w:pPr>
      <w:r w:rsidRPr="00EB50F9">
        <w:rPr>
          <w:bCs/>
        </w:rPr>
        <w:t>Other pressures within Housing include the review of Watkins House to ensure compliance with applicable regulations</w:t>
      </w:r>
      <w:r>
        <w:rPr>
          <w:bCs/>
        </w:rPr>
        <w:t>.</w:t>
      </w:r>
    </w:p>
    <w:p w14:paraId="286631B8" w14:textId="6522923C" w:rsidR="00C90A80" w:rsidRPr="00F67A46" w:rsidRDefault="00EB50F9" w:rsidP="00515CBD">
      <w:pPr>
        <w:pStyle w:val="ListParagraph"/>
        <w:numPr>
          <w:ilvl w:val="1"/>
          <w:numId w:val="32"/>
        </w:numPr>
        <w:spacing w:after="120"/>
        <w:ind w:left="709" w:hanging="709"/>
        <w:jc w:val="both"/>
        <w:rPr>
          <w:bCs/>
        </w:rPr>
      </w:pPr>
      <w:r w:rsidRPr="00EB50F9">
        <w:rPr>
          <w:bCs/>
          <w:lang w:val="en-US"/>
        </w:rPr>
        <w:lastRenderedPageBreak/>
        <w:t xml:space="preserve">Of the £4.974m </w:t>
      </w:r>
      <w:r w:rsidR="003E4312">
        <w:rPr>
          <w:bCs/>
          <w:lang w:val="en-US"/>
        </w:rPr>
        <w:t>20</w:t>
      </w:r>
      <w:r w:rsidRPr="00EB50F9">
        <w:rPr>
          <w:bCs/>
          <w:lang w:val="en-US"/>
        </w:rPr>
        <w:t xml:space="preserve">16/17 MTFS targets, there is one red rated saving at Quarter 3 relating to </w:t>
      </w:r>
      <w:r w:rsidRPr="00EB50F9">
        <w:rPr>
          <w:bCs/>
        </w:rPr>
        <w:t>Arts and Heritage service</w:t>
      </w:r>
      <w:r w:rsidRPr="00EB50F9">
        <w:rPr>
          <w:bCs/>
          <w:lang w:val="en-US"/>
        </w:rPr>
        <w:t xml:space="preserve"> (£173k in </w:t>
      </w:r>
      <w:r w:rsidR="003E4312">
        <w:rPr>
          <w:bCs/>
          <w:lang w:val="en-US"/>
        </w:rPr>
        <w:t>20</w:t>
      </w:r>
      <w:r w:rsidRPr="00EB50F9">
        <w:rPr>
          <w:bCs/>
          <w:lang w:val="en-US"/>
        </w:rPr>
        <w:t xml:space="preserve">16/17 and £282k in </w:t>
      </w:r>
      <w:r w:rsidR="003E4312">
        <w:rPr>
          <w:bCs/>
          <w:lang w:val="en-US"/>
        </w:rPr>
        <w:t>20</w:t>
      </w:r>
      <w:r w:rsidRPr="00EB50F9">
        <w:rPr>
          <w:bCs/>
          <w:lang w:val="en-US"/>
        </w:rPr>
        <w:t>17/18</w:t>
      </w:r>
      <w:r>
        <w:rPr>
          <w:bCs/>
          <w:lang w:val="en-US"/>
        </w:rPr>
        <w:t>).</w:t>
      </w:r>
    </w:p>
    <w:p w14:paraId="660ED0B8" w14:textId="77777777" w:rsidR="00F67A46" w:rsidRDefault="00F67A46" w:rsidP="00F67A46">
      <w:pPr>
        <w:pStyle w:val="ListParagraph"/>
        <w:spacing w:after="120"/>
        <w:ind w:left="709"/>
        <w:jc w:val="both"/>
        <w:rPr>
          <w:bCs/>
          <w:lang w:val="en-US"/>
        </w:rPr>
      </w:pPr>
    </w:p>
    <w:p w14:paraId="616A0EAA" w14:textId="652D6B09" w:rsidR="00F67A46" w:rsidRPr="00F67A46" w:rsidRDefault="00F67A46" w:rsidP="00F67A46">
      <w:pPr>
        <w:pStyle w:val="ListParagraph"/>
        <w:spacing w:after="120"/>
        <w:ind w:left="709"/>
        <w:jc w:val="both"/>
        <w:rPr>
          <w:bCs/>
          <w:i/>
          <w:u w:val="single"/>
        </w:rPr>
      </w:pPr>
      <w:r w:rsidRPr="00F67A46">
        <w:rPr>
          <w:bCs/>
          <w:i/>
          <w:u w:val="single"/>
          <w:lang w:val="en-US"/>
        </w:rPr>
        <w:t>Bad Debt Write Off</w:t>
      </w:r>
    </w:p>
    <w:p w14:paraId="4BE37719" w14:textId="0FFF572A" w:rsidR="00AF6ED8" w:rsidRPr="00AF6ED8" w:rsidRDefault="00AF6ED8" w:rsidP="008210B6">
      <w:pPr>
        <w:pStyle w:val="ListParagraph"/>
        <w:numPr>
          <w:ilvl w:val="1"/>
          <w:numId w:val="32"/>
        </w:numPr>
        <w:ind w:hanging="689"/>
        <w:jc w:val="both"/>
        <w:rPr>
          <w:bCs/>
        </w:rPr>
      </w:pPr>
      <w:r w:rsidRPr="00AF6ED8">
        <w:rPr>
          <w:bCs/>
        </w:rPr>
        <w:t>An invoice of £75,162.97 was raised a property company, the freeholder of the property, following works carried out by the Council to make a dangerous structure safe in 2015. However the property was leased out at that time and the tenants denied liability. Following legal advice, the outstanding debt is considered to be irrecoverable. It is therefore recommended that this is written off.</w:t>
      </w:r>
    </w:p>
    <w:p w14:paraId="36D932CC" w14:textId="77777777" w:rsidR="00D57576" w:rsidRDefault="00D57576" w:rsidP="00D90114">
      <w:pPr>
        <w:suppressAutoHyphens/>
        <w:spacing w:after="120"/>
        <w:ind w:firstLine="689"/>
        <w:rPr>
          <w:rFonts w:cs="Arial"/>
          <w:iCs/>
          <w:szCs w:val="24"/>
          <w:u w:val="single"/>
          <w:lang w:eastAsia="ar-SA"/>
        </w:rPr>
      </w:pPr>
      <w:bookmarkStart w:id="2" w:name="_Toc372706220"/>
    </w:p>
    <w:p w14:paraId="1E480A0E" w14:textId="77777777" w:rsidR="00EC54FC" w:rsidRDefault="00C81947" w:rsidP="00EC54FC">
      <w:pPr>
        <w:suppressAutoHyphens/>
        <w:spacing w:after="120"/>
        <w:rPr>
          <w:rFonts w:cs="Arial"/>
          <w:b/>
          <w:iCs/>
          <w:szCs w:val="24"/>
          <w:u w:val="single"/>
          <w:lang w:eastAsia="ar-SA"/>
        </w:rPr>
      </w:pPr>
      <w:r w:rsidRPr="004032B3">
        <w:rPr>
          <w:rFonts w:cs="Arial"/>
          <w:b/>
          <w:iCs/>
          <w:szCs w:val="24"/>
          <w:u w:val="single"/>
          <w:lang w:eastAsia="ar-SA"/>
        </w:rPr>
        <w:t>H</w:t>
      </w:r>
      <w:r w:rsidR="000A4437" w:rsidRPr="004032B3">
        <w:rPr>
          <w:rFonts w:cs="Arial"/>
          <w:b/>
          <w:iCs/>
          <w:szCs w:val="24"/>
          <w:u w:val="single"/>
          <w:lang w:eastAsia="ar-SA"/>
        </w:rPr>
        <w:t>ousing Revenue Account</w:t>
      </w:r>
    </w:p>
    <w:p w14:paraId="196D805A" w14:textId="71D309CD" w:rsidR="00C90A80" w:rsidRDefault="00F67A46" w:rsidP="008210B6">
      <w:pPr>
        <w:suppressAutoHyphens/>
        <w:spacing w:after="120"/>
        <w:ind w:left="689" w:hanging="689"/>
        <w:jc w:val="both"/>
        <w:rPr>
          <w:rFonts w:cs="Arial"/>
          <w:szCs w:val="24"/>
        </w:rPr>
      </w:pPr>
      <w:r>
        <w:rPr>
          <w:rFonts w:cs="Arial"/>
          <w:szCs w:val="24"/>
        </w:rPr>
        <w:t>2.25</w:t>
      </w:r>
      <w:r w:rsidR="0039654F">
        <w:rPr>
          <w:rFonts w:cs="Arial"/>
          <w:szCs w:val="24"/>
        </w:rPr>
        <w:tab/>
      </w:r>
      <w:r w:rsidR="00C90A80" w:rsidRPr="00C90A80">
        <w:rPr>
          <w:rFonts w:cs="Arial"/>
          <w:szCs w:val="24"/>
        </w:rPr>
        <w:t>Quar</w:t>
      </w:r>
      <w:r w:rsidR="00EB50F9">
        <w:rPr>
          <w:rFonts w:cs="Arial"/>
          <w:szCs w:val="24"/>
        </w:rPr>
        <w:t>ter 3 forecasts a pressure of £635</w:t>
      </w:r>
      <w:r w:rsidR="00C90A80" w:rsidRPr="00C90A80">
        <w:rPr>
          <w:rFonts w:cs="Arial"/>
          <w:szCs w:val="24"/>
        </w:rPr>
        <w:t>k,</w:t>
      </w:r>
      <w:r w:rsidR="007D1D99">
        <w:rPr>
          <w:rFonts w:cs="Arial"/>
          <w:szCs w:val="24"/>
        </w:rPr>
        <w:t xml:space="preserve"> </w:t>
      </w:r>
      <w:r w:rsidR="0056672E">
        <w:rPr>
          <w:rFonts w:cs="Arial"/>
          <w:szCs w:val="24"/>
        </w:rPr>
        <w:t>a deterioration</w:t>
      </w:r>
      <w:r w:rsidR="00C90A80" w:rsidRPr="00C90A80">
        <w:rPr>
          <w:rFonts w:cs="Arial"/>
          <w:szCs w:val="24"/>
        </w:rPr>
        <w:t xml:space="preserve"> </w:t>
      </w:r>
      <w:r w:rsidR="007D1D99" w:rsidRPr="00C90A80">
        <w:rPr>
          <w:rFonts w:cs="Arial"/>
          <w:szCs w:val="24"/>
        </w:rPr>
        <w:t xml:space="preserve">against </w:t>
      </w:r>
      <w:r w:rsidR="007D1D99">
        <w:rPr>
          <w:rFonts w:cs="Arial"/>
          <w:szCs w:val="24"/>
        </w:rPr>
        <w:t>Quarter</w:t>
      </w:r>
      <w:r w:rsidR="00EB50F9">
        <w:rPr>
          <w:rFonts w:cs="Arial"/>
          <w:szCs w:val="24"/>
        </w:rPr>
        <w:t xml:space="preserve"> 2 of £5</w:t>
      </w:r>
      <w:r w:rsidR="00C90A80" w:rsidRPr="00C90A80">
        <w:rPr>
          <w:rFonts w:cs="Arial"/>
          <w:szCs w:val="24"/>
        </w:rPr>
        <w:t>k</w:t>
      </w:r>
      <w:r w:rsidR="002C463F">
        <w:rPr>
          <w:rFonts w:cs="Arial"/>
          <w:szCs w:val="24"/>
        </w:rPr>
        <w:t>.</w:t>
      </w:r>
    </w:p>
    <w:p w14:paraId="01E8CDBE" w14:textId="77777777" w:rsidR="00EB50F9" w:rsidRDefault="00EB50F9" w:rsidP="00F67A46">
      <w:pPr>
        <w:pStyle w:val="ListParagraph"/>
        <w:numPr>
          <w:ilvl w:val="1"/>
          <w:numId w:val="38"/>
        </w:numPr>
        <w:spacing w:after="120"/>
        <w:ind w:left="709" w:hanging="709"/>
        <w:jc w:val="both"/>
        <w:rPr>
          <w:rFonts w:cs="Arial"/>
          <w:szCs w:val="24"/>
        </w:rPr>
      </w:pPr>
      <w:r w:rsidRPr="00EB50F9">
        <w:rPr>
          <w:rFonts w:cs="Arial"/>
          <w:szCs w:val="24"/>
        </w:rPr>
        <w:t>The pressure is due mainly to unforeseen repairs expenditure required to meet legislative requirements and discharge mandatory health &amp; safety obligations</w:t>
      </w:r>
      <w:r>
        <w:rPr>
          <w:rFonts w:cs="Arial"/>
          <w:szCs w:val="24"/>
        </w:rPr>
        <w:t>.</w:t>
      </w:r>
    </w:p>
    <w:p w14:paraId="7792E63F" w14:textId="19DC2E70" w:rsidR="00C90A80" w:rsidRDefault="00EA5DE4" w:rsidP="00615AE4">
      <w:pPr>
        <w:pStyle w:val="ListParagraph"/>
        <w:numPr>
          <w:ilvl w:val="1"/>
          <w:numId w:val="38"/>
        </w:numPr>
        <w:spacing w:after="120"/>
        <w:ind w:left="709" w:hanging="709"/>
        <w:jc w:val="both"/>
        <w:rPr>
          <w:rFonts w:cs="Arial"/>
          <w:szCs w:val="24"/>
        </w:rPr>
      </w:pPr>
      <w:r>
        <w:rPr>
          <w:rFonts w:cs="Arial"/>
          <w:szCs w:val="24"/>
        </w:rPr>
        <w:t>T</w:t>
      </w:r>
      <w:r w:rsidR="00C90A80" w:rsidRPr="00C90A80">
        <w:rPr>
          <w:rFonts w:cs="Arial"/>
          <w:szCs w:val="24"/>
        </w:rPr>
        <w:t>he costs of the compulsory upgrade of IT systems, and unbudgeted Depot bin hire and bulk waste disposal recharges, for which offsetting savings will have to be found</w:t>
      </w:r>
      <w:r w:rsidR="00C90A80">
        <w:rPr>
          <w:rFonts w:cs="Arial"/>
          <w:szCs w:val="24"/>
        </w:rPr>
        <w:t>.</w:t>
      </w:r>
    </w:p>
    <w:p w14:paraId="0DCA3871" w14:textId="5FDCEEB9" w:rsidR="00487842" w:rsidRDefault="00FA683C" w:rsidP="00615AE4">
      <w:pPr>
        <w:pStyle w:val="ListParagraph"/>
        <w:numPr>
          <w:ilvl w:val="1"/>
          <w:numId w:val="38"/>
        </w:numPr>
        <w:ind w:left="709" w:hanging="709"/>
        <w:jc w:val="both"/>
        <w:rPr>
          <w:rFonts w:cs="Arial"/>
          <w:szCs w:val="24"/>
        </w:rPr>
      </w:pPr>
      <w:r w:rsidRPr="00FA683C">
        <w:rPr>
          <w:rFonts w:cs="Arial"/>
          <w:szCs w:val="24"/>
        </w:rPr>
        <w:t>Welfare reform and the extension of rent reduction to sheltered housing</w:t>
      </w:r>
      <w:r w:rsidR="00BE3D10">
        <w:rPr>
          <w:rFonts w:cs="Arial"/>
          <w:szCs w:val="24"/>
        </w:rPr>
        <w:t xml:space="preserve"> will impact on the HRA in 2017/</w:t>
      </w:r>
      <w:r w:rsidRPr="00FA683C">
        <w:rPr>
          <w:rFonts w:cs="Arial"/>
          <w:szCs w:val="24"/>
        </w:rPr>
        <w:t>18, though other initiatives such as Pay to Stay and Forced Sale of high value Council properties, which were anticipated to take effect next year, have either been shelved or postponed. The challenges facing the HRA are addressed in the HRA draft budget report elsewhere on this agenda.</w:t>
      </w:r>
    </w:p>
    <w:p w14:paraId="252834A5" w14:textId="77777777" w:rsidR="00EA5DE4" w:rsidRDefault="00EA5DE4" w:rsidP="00615AE4">
      <w:pPr>
        <w:pStyle w:val="ListParagraph"/>
        <w:ind w:left="709" w:hanging="709"/>
        <w:jc w:val="both"/>
        <w:rPr>
          <w:rFonts w:cs="Arial"/>
          <w:szCs w:val="24"/>
        </w:rPr>
      </w:pPr>
    </w:p>
    <w:p w14:paraId="752815E6" w14:textId="4452DF56" w:rsidR="005661F5" w:rsidRDefault="005661F5" w:rsidP="00615AE4">
      <w:pPr>
        <w:pStyle w:val="ListParagraph"/>
        <w:numPr>
          <w:ilvl w:val="1"/>
          <w:numId w:val="38"/>
        </w:numPr>
        <w:ind w:left="709" w:hanging="709"/>
        <w:jc w:val="both"/>
        <w:rPr>
          <w:rFonts w:cs="Arial"/>
          <w:szCs w:val="24"/>
        </w:rPr>
      </w:pPr>
      <w:r w:rsidRPr="005661F5">
        <w:rPr>
          <w:rFonts w:cs="Arial"/>
          <w:szCs w:val="24"/>
        </w:rPr>
        <w:t>A summary of the HRA position is provided below which includes estimated balances</w:t>
      </w:r>
      <w:r>
        <w:rPr>
          <w:rFonts w:cs="Arial"/>
          <w:szCs w:val="24"/>
        </w:rPr>
        <w:t>.</w:t>
      </w:r>
    </w:p>
    <w:p w14:paraId="38063A89" w14:textId="77777777" w:rsidR="00090F94" w:rsidRDefault="00090F94" w:rsidP="007D1D99">
      <w:pPr>
        <w:pStyle w:val="ListParagraph"/>
        <w:ind w:left="689"/>
        <w:jc w:val="both"/>
        <w:rPr>
          <w:rFonts w:cs="Arial"/>
          <w:szCs w:val="24"/>
        </w:rPr>
      </w:pPr>
    </w:p>
    <w:p w14:paraId="3A4EADCD" w14:textId="562EA731" w:rsidR="005661F5" w:rsidRPr="00A533C8" w:rsidRDefault="007D1D99" w:rsidP="005661F5">
      <w:pPr>
        <w:pStyle w:val="ListParagraph"/>
        <w:ind w:left="405"/>
        <w:jc w:val="both"/>
        <w:rPr>
          <w:rFonts w:cs="Arial"/>
          <w:b/>
          <w:szCs w:val="24"/>
          <w:u w:val="single"/>
        </w:rPr>
      </w:pPr>
      <w:r>
        <w:rPr>
          <w:rFonts w:cs="Arial"/>
          <w:szCs w:val="24"/>
        </w:rPr>
        <w:t xml:space="preserve">  </w:t>
      </w:r>
      <w:r w:rsidRPr="00A533C8">
        <w:rPr>
          <w:rFonts w:cs="Arial"/>
          <w:b/>
          <w:szCs w:val="24"/>
          <w:u w:val="single"/>
        </w:rPr>
        <w:t>Table 4</w:t>
      </w:r>
      <w:r w:rsidR="00A533C8" w:rsidRPr="00A533C8">
        <w:rPr>
          <w:rFonts w:cs="Arial"/>
          <w:b/>
          <w:szCs w:val="24"/>
          <w:u w:val="single"/>
        </w:rPr>
        <w:t>:</w:t>
      </w:r>
      <w:r w:rsidRPr="00A533C8">
        <w:rPr>
          <w:rFonts w:cs="Arial"/>
          <w:b/>
          <w:szCs w:val="24"/>
          <w:u w:val="single"/>
        </w:rPr>
        <w:t xml:space="preserve"> HRA</w:t>
      </w:r>
      <w:r w:rsidR="00A533C8" w:rsidRPr="00A533C8">
        <w:rPr>
          <w:rFonts w:cs="Arial"/>
          <w:b/>
          <w:szCs w:val="24"/>
          <w:u w:val="single"/>
        </w:rPr>
        <w:t xml:space="preserve"> Variance</w:t>
      </w:r>
    </w:p>
    <w:tbl>
      <w:tblPr>
        <w:tblpPr w:leftFromText="180" w:rightFromText="180" w:vertAnchor="text" w:horzAnchor="page" w:tblpX="2231" w:tblpY="157"/>
        <w:tblW w:w="4400" w:type="dxa"/>
        <w:tblLook w:val="04A0" w:firstRow="1" w:lastRow="0" w:firstColumn="1" w:lastColumn="0" w:noHBand="0" w:noVBand="1"/>
      </w:tblPr>
      <w:tblGrid>
        <w:gridCol w:w="2000"/>
        <w:gridCol w:w="1180"/>
        <w:gridCol w:w="1220"/>
      </w:tblGrid>
      <w:tr w:rsidR="00AA5DFC" w:rsidRPr="00AA5DFC" w14:paraId="1FFB3AE3" w14:textId="77777777" w:rsidTr="00AA5DFC">
        <w:trPr>
          <w:trHeight w:val="81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73C9BB" w14:textId="77777777" w:rsidR="00AA5DFC" w:rsidRPr="00AA5DFC" w:rsidRDefault="00AA5DFC" w:rsidP="00AA5DFC">
            <w:pPr>
              <w:jc w:val="center"/>
              <w:rPr>
                <w:rFonts w:cs="Arial"/>
                <w:b/>
                <w:bCs/>
                <w:color w:val="000000"/>
                <w:sz w:val="22"/>
                <w:szCs w:val="22"/>
                <w:lang w:eastAsia="en-GB"/>
              </w:rPr>
            </w:pPr>
            <w:r w:rsidRPr="00AA5DFC">
              <w:rPr>
                <w:rFonts w:cs="Arial"/>
                <w:b/>
                <w:bCs/>
                <w:color w:val="000000"/>
                <w:sz w:val="22"/>
                <w:szCs w:val="22"/>
                <w:lang w:eastAsia="en-GB"/>
              </w:rPr>
              <w:t>2016-17 Revised Budget</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060EEDFE" w14:textId="77777777" w:rsidR="00AA5DFC" w:rsidRPr="00AA5DFC" w:rsidRDefault="00AA5DFC" w:rsidP="00AA5DFC">
            <w:pPr>
              <w:jc w:val="center"/>
              <w:rPr>
                <w:rFonts w:cs="Arial"/>
                <w:b/>
                <w:bCs/>
                <w:color w:val="000000"/>
                <w:sz w:val="22"/>
                <w:szCs w:val="22"/>
                <w:lang w:eastAsia="en-GB"/>
              </w:rPr>
            </w:pPr>
            <w:r w:rsidRPr="00AA5DFC">
              <w:rPr>
                <w:rFonts w:cs="Arial"/>
                <w:b/>
                <w:bCs/>
                <w:color w:val="000000"/>
                <w:sz w:val="22"/>
                <w:szCs w:val="22"/>
                <w:lang w:eastAsia="en-GB"/>
              </w:rPr>
              <w:t>Quarter 3 Forecast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05CCE1B3" w14:textId="77777777" w:rsidR="00AA5DFC" w:rsidRPr="00AA5DFC" w:rsidRDefault="00AA5DFC" w:rsidP="00AA5DFC">
            <w:pPr>
              <w:jc w:val="center"/>
              <w:rPr>
                <w:rFonts w:cs="Arial"/>
                <w:b/>
                <w:bCs/>
                <w:color w:val="000000"/>
                <w:sz w:val="22"/>
                <w:szCs w:val="22"/>
                <w:lang w:eastAsia="en-GB"/>
              </w:rPr>
            </w:pPr>
            <w:r w:rsidRPr="00AA5DFC">
              <w:rPr>
                <w:rFonts w:cs="Arial"/>
                <w:b/>
                <w:bCs/>
                <w:color w:val="000000"/>
                <w:sz w:val="22"/>
                <w:szCs w:val="22"/>
                <w:lang w:eastAsia="en-GB"/>
              </w:rPr>
              <w:t>Variance</w:t>
            </w:r>
          </w:p>
        </w:tc>
      </w:tr>
      <w:tr w:rsidR="00AA5DFC" w:rsidRPr="00AA5DFC" w14:paraId="22FE9295" w14:textId="77777777" w:rsidTr="00AA5DFC">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040EEC69" w14:textId="77777777" w:rsidR="00AA5DFC" w:rsidRPr="00AA5DFC" w:rsidRDefault="00AA5DFC" w:rsidP="00AA5DFC">
            <w:pPr>
              <w:jc w:val="center"/>
              <w:rPr>
                <w:rFonts w:cs="Arial"/>
                <w:b/>
                <w:bCs/>
                <w:color w:val="000000"/>
                <w:sz w:val="22"/>
                <w:szCs w:val="22"/>
                <w:lang w:eastAsia="en-GB"/>
              </w:rPr>
            </w:pPr>
            <w:r w:rsidRPr="00AA5DFC">
              <w:rPr>
                <w:rFonts w:cs="Arial"/>
                <w:b/>
                <w:bCs/>
                <w:color w:val="000000"/>
                <w:sz w:val="22"/>
                <w:szCs w:val="22"/>
                <w:lang w:eastAsia="en-GB"/>
              </w:rPr>
              <w:t xml:space="preserve">£'000 </w:t>
            </w:r>
          </w:p>
        </w:tc>
        <w:tc>
          <w:tcPr>
            <w:tcW w:w="1180" w:type="dxa"/>
            <w:tcBorders>
              <w:top w:val="nil"/>
              <w:left w:val="nil"/>
              <w:bottom w:val="single" w:sz="8" w:space="0" w:color="auto"/>
              <w:right w:val="single" w:sz="8" w:space="0" w:color="auto"/>
            </w:tcBorders>
            <w:shd w:val="clear" w:color="auto" w:fill="auto"/>
            <w:vAlign w:val="center"/>
            <w:hideMark/>
          </w:tcPr>
          <w:p w14:paraId="4B9038BB" w14:textId="77777777" w:rsidR="00AA5DFC" w:rsidRPr="00AA5DFC" w:rsidRDefault="00AA5DFC" w:rsidP="00AA5DFC">
            <w:pPr>
              <w:jc w:val="center"/>
              <w:rPr>
                <w:rFonts w:cs="Arial"/>
                <w:b/>
                <w:bCs/>
                <w:color w:val="000000"/>
                <w:sz w:val="22"/>
                <w:szCs w:val="22"/>
                <w:lang w:eastAsia="en-GB"/>
              </w:rPr>
            </w:pPr>
            <w:r w:rsidRPr="00AA5DFC">
              <w:rPr>
                <w:rFonts w:cs="Arial"/>
                <w:b/>
                <w:bCs/>
                <w:color w:val="000000"/>
                <w:sz w:val="22"/>
                <w:szCs w:val="22"/>
                <w:lang w:eastAsia="en-GB"/>
              </w:rPr>
              <w:t xml:space="preserve">£'000 </w:t>
            </w:r>
          </w:p>
        </w:tc>
        <w:tc>
          <w:tcPr>
            <w:tcW w:w="1220" w:type="dxa"/>
            <w:tcBorders>
              <w:top w:val="nil"/>
              <w:left w:val="nil"/>
              <w:bottom w:val="single" w:sz="8" w:space="0" w:color="auto"/>
              <w:right w:val="single" w:sz="8" w:space="0" w:color="auto"/>
            </w:tcBorders>
            <w:shd w:val="clear" w:color="auto" w:fill="auto"/>
            <w:vAlign w:val="center"/>
            <w:hideMark/>
          </w:tcPr>
          <w:p w14:paraId="76DD4DCC" w14:textId="77777777" w:rsidR="00AA5DFC" w:rsidRPr="00AA5DFC" w:rsidRDefault="00AA5DFC" w:rsidP="00AA5DFC">
            <w:pPr>
              <w:jc w:val="center"/>
              <w:rPr>
                <w:rFonts w:cs="Arial"/>
                <w:b/>
                <w:bCs/>
                <w:color w:val="000000"/>
                <w:sz w:val="22"/>
                <w:szCs w:val="22"/>
                <w:lang w:eastAsia="en-GB"/>
              </w:rPr>
            </w:pPr>
            <w:r w:rsidRPr="00AA5DFC">
              <w:rPr>
                <w:rFonts w:cs="Arial"/>
                <w:b/>
                <w:bCs/>
                <w:color w:val="000000"/>
                <w:sz w:val="22"/>
                <w:szCs w:val="22"/>
                <w:lang w:eastAsia="en-GB"/>
              </w:rPr>
              <w:t xml:space="preserve">£'000 </w:t>
            </w:r>
          </w:p>
        </w:tc>
      </w:tr>
      <w:tr w:rsidR="00AA5DFC" w:rsidRPr="00AA5DFC" w14:paraId="3122D5CE" w14:textId="77777777" w:rsidTr="00AA5DFC">
        <w:trPr>
          <w:trHeight w:val="30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B4A2131" w14:textId="6B689904" w:rsidR="00AA5DFC" w:rsidRPr="00AA5DFC" w:rsidRDefault="003E4312" w:rsidP="00AA5DFC">
            <w:pPr>
              <w:jc w:val="center"/>
              <w:rPr>
                <w:rFonts w:cs="Arial"/>
                <w:color w:val="FF0000"/>
                <w:sz w:val="22"/>
                <w:szCs w:val="22"/>
                <w:lang w:eastAsia="en-GB"/>
              </w:rPr>
            </w:pPr>
            <w:r>
              <w:rPr>
                <w:rFonts w:cs="Arial"/>
                <w:color w:val="FF0000"/>
                <w:sz w:val="22"/>
                <w:szCs w:val="22"/>
                <w:lang w:eastAsia="en-GB"/>
              </w:rPr>
              <w:t>(</w:t>
            </w:r>
            <w:r w:rsidR="00AA5DFC" w:rsidRPr="00AA5DFC">
              <w:rPr>
                <w:rFonts w:cs="Arial"/>
                <w:color w:val="FF0000"/>
                <w:sz w:val="22"/>
                <w:szCs w:val="22"/>
                <w:lang w:eastAsia="en-GB"/>
              </w:rPr>
              <w:t>144</w:t>
            </w:r>
            <w:r>
              <w:rPr>
                <w:rFonts w:cs="Arial"/>
                <w:color w:val="FF0000"/>
                <w:sz w:val="22"/>
                <w:szCs w:val="22"/>
                <w:lang w:eastAsia="en-GB"/>
              </w:rPr>
              <w:t>)</w:t>
            </w:r>
          </w:p>
        </w:tc>
        <w:tc>
          <w:tcPr>
            <w:tcW w:w="1180" w:type="dxa"/>
            <w:tcBorders>
              <w:top w:val="nil"/>
              <w:left w:val="nil"/>
              <w:bottom w:val="single" w:sz="8" w:space="0" w:color="auto"/>
              <w:right w:val="single" w:sz="8" w:space="0" w:color="auto"/>
            </w:tcBorders>
            <w:shd w:val="clear" w:color="auto" w:fill="auto"/>
            <w:noWrap/>
            <w:vAlign w:val="center"/>
            <w:hideMark/>
          </w:tcPr>
          <w:p w14:paraId="05E81E16" w14:textId="77777777" w:rsidR="00AA5DFC" w:rsidRPr="00AA5DFC" w:rsidRDefault="00AA5DFC" w:rsidP="00AA5DFC">
            <w:pPr>
              <w:jc w:val="center"/>
              <w:rPr>
                <w:rFonts w:cs="Arial"/>
                <w:color w:val="FF0000"/>
                <w:sz w:val="22"/>
                <w:szCs w:val="22"/>
                <w:lang w:eastAsia="en-GB"/>
              </w:rPr>
            </w:pPr>
            <w:r w:rsidRPr="00AA5DFC">
              <w:rPr>
                <w:rFonts w:cs="Arial"/>
                <w:color w:val="FF0000"/>
                <w:sz w:val="22"/>
                <w:szCs w:val="22"/>
                <w:lang w:eastAsia="en-GB"/>
              </w:rPr>
              <w:t>491</w:t>
            </w:r>
          </w:p>
        </w:tc>
        <w:tc>
          <w:tcPr>
            <w:tcW w:w="1220" w:type="dxa"/>
            <w:tcBorders>
              <w:top w:val="nil"/>
              <w:left w:val="nil"/>
              <w:bottom w:val="single" w:sz="8" w:space="0" w:color="auto"/>
              <w:right w:val="single" w:sz="8" w:space="0" w:color="auto"/>
            </w:tcBorders>
            <w:shd w:val="clear" w:color="auto" w:fill="auto"/>
            <w:noWrap/>
            <w:vAlign w:val="center"/>
            <w:hideMark/>
          </w:tcPr>
          <w:p w14:paraId="34D6D7D5" w14:textId="77777777" w:rsidR="00AA5DFC" w:rsidRPr="00AA5DFC" w:rsidRDefault="00AA5DFC" w:rsidP="00AA5DFC">
            <w:pPr>
              <w:jc w:val="center"/>
              <w:rPr>
                <w:rFonts w:cs="Arial"/>
                <w:color w:val="FF0000"/>
                <w:sz w:val="22"/>
                <w:szCs w:val="22"/>
                <w:lang w:eastAsia="en-GB"/>
              </w:rPr>
            </w:pPr>
            <w:r w:rsidRPr="00AA5DFC">
              <w:rPr>
                <w:rFonts w:cs="Arial"/>
                <w:color w:val="FF0000"/>
                <w:sz w:val="22"/>
                <w:szCs w:val="22"/>
                <w:lang w:eastAsia="en-GB"/>
              </w:rPr>
              <w:t>635</w:t>
            </w:r>
          </w:p>
        </w:tc>
      </w:tr>
    </w:tbl>
    <w:p w14:paraId="56D0F943" w14:textId="77777777" w:rsidR="00A533C8" w:rsidRPr="00A533C8" w:rsidRDefault="00A533C8" w:rsidP="005661F5">
      <w:pPr>
        <w:pStyle w:val="ListParagraph"/>
        <w:ind w:left="405"/>
        <w:jc w:val="both"/>
        <w:rPr>
          <w:rFonts w:cs="Arial"/>
          <w:b/>
          <w:szCs w:val="24"/>
        </w:rPr>
      </w:pPr>
    </w:p>
    <w:p w14:paraId="776E56DA" w14:textId="77777777" w:rsidR="005661F5" w:rsidRDefault="005661F5" w:rsidP="008F21C7">
      <w:pPr>
        <w:pStyle w:val="ListParagraph"/>
        <w:ind w:left="689"/>
        <w:jc w:val="both"/>
        <w:rPr>
          <w:rFonts w:cs="Arial"/>
          <w:szCs w:val="24"/>
        </w:rPr>
      </w:pPr>
    </w:p>
    <w:p w14:paraId="70938182" w14:textId="77777777" w:rsidR="002B11DD" w:rsidRDefault="002B11DD" w:rsidP="003D460D">
      <w:pPr>
        <w:keepNext/>
        <w:spacing w:after="120"/>
        <w:ind w:left="16"/>
        <w:outlineLvl w:val="0"/>
        <w:rPr>
          <w:rFonts w:cs="Arial"/>
          <w:b/>
          <w:bCs/>
          <w:kern w:val="32"/>
          <w:szCs w:val="24"/>
          <w:u w:val="single"/>
        </w:rPr>
      </w:pPr>
    </w:p>
    <w:p w14:paraId="796420D6" w14:textId="77777777" w:rsidR="00090F94" w:rsidRDefault="00090F94" w:rsidP="003D460D">
      <w:pPr>
        <w:keepNext/>
        <w:spacing w:after="120"/>
        <w:ind w:left="16"/>
        <w:outlineLvl w:val="0"/>
        <w:rPr>
          <w:rFonts w:cs="Arial"/>
          <w:b/>
          <w:bCs/>
          <w:kern w:val="32"/>
          <w:szCs w:val="24"/>
          <w:u w:val="single"/>
        </w:rPr>
      </w:pPr>
    </w:p>
    <w:p w14:paraId="207107FE" w14:textId="77777777" w:rsidR="00AA5DFC" w:rsidRDefault="00AA5DFC" w:rsidP="003D460D">
      <w:pPr>
        <w:keepNext/>
        <w:spacing w:after="120"/>
        <w:ind w:left="16"/>
        <w:outlineLvl w:val="0"/>
        <w:rPr>
          <w:rFonts w:cs="Arial"/>
          <w:b/>
          <w:bCs/>
          <w:kern w:val="32"/>
          <w:szCs w:val="24"/>
          <w:u w:val="single"/>
        </w:rPr>
      </w:pPr>
    </w:p>
    <w:p w14:paraId="3D138580" w14:textId="77777777" w:rsidR="00AA5DFC" w:rsidRDefault="00AA5DFC" w:rsidP="003D460D">
      <w:pPr>
        <w:keepNext/>
        <w:spacing w:after="120"/>
        <w:ind w:left="16"/>
        <w:outlineLvl w:val="0"/>
        <w:rPr>
          <w:rFonts w:cs="Arial"/>
          <w:b/>
          <w:bCs/>
          <w:kern w:val="32"/>
          <w:szCs w:val="24"/>
          <w:u w:val="single"/>
        </w:rPr>
      </w:pPr>
    </w:p>
    <w:p w14:paraId="4E6E7BEB" w14:textId="39BF2346" w:rsidR="00AA5DFC" w:rsidRDefault="00AA5DFC" w:rsidP="00785D40">
      <w:pPr>
        <w:pStyle w:val="ListParagraph"/>
        <w:keepNext/>
        <w:numPr>
          <w:ilvl w:val="1"/>
          <w:numId w:val="38"/>
        </w:numPr>
        <w:spacing w:after="120"/>
        <w:ind w:left="709" w:hanging="709"/>
        <w:outlineLvl w:val="0"/>
        <w:rPr>
          <w:rFonts w:cs="Arial"/>
          <w:bCs/>
          <w:kern w:val="32"/>
          <w:szCs w:val="24"/>
        </w:rPr>
      </w:pPr>
      <w:r w:rsidRPr="00785D40">
        <w:rPr>
          <w:rFonts w:cs="Arial"/>
          <w:bCs/>
          <w:kern w:val="32"/>
          <w:szCs w:val="24"/>
        </w:rPr>
        <w:t xml:space="preserve">Based on the forecast overspend of £0.635m, it is estimated that </w:t>
      </w:r>
      <w:r w:rsidR="00BE3D10">
        <w:rPr>
          <w:rFonts w:cs="Arial"/>
          <w:bCs/>
          <w:kern w:val="32"/>
          <w:szCs w:val="24"/>
        </w:rPr>
        <w:t>an HRA balance of</w:t>
      </w:r>
      <w:r w:rsidRPr="00785D40">
        <w:rPr>
          <w:rFonts w:cs="Arial"/>
          <w:bCs/>
          <w:kern w:val="32"/>
          <w:szCs w:val="24"/>
        </w:rPr>
        <w:t>(£6.245m) will be carried forward into 2017-18</w:t>
      </w:r>
      <w:r w:rsidR="00824F94" w:rsidRPr="00785D40">
        <w:rPr>
          <w:rFonts w:cs="Arial"/>
          <w:bCs/>
          <w:kern w:val="32"/>
          <w:szCs w:val="24"/>
        </w:rPr>
        <w:t>.</w:t>
      </w:r>
      <w:r w:rsidRPr="00785D40">
        <w:rPr>
          <w:rFonts w:cs="Arial"/>
          <w:bCs/>
          <w:kern w:val="32"/>
          <w:szCs w:val="24"/>
        </w:rPr>
        <w:t xml:space="preserve"> </w:t>
      </w:r>
    </w:p>
    <w:p w14:paraId="3B96476F" w14:textId="1DB666B6" w:rsidR="00881710" w:rsidRDefault="00881710" w:rsidP="00881710">
      <w:pPr>
        <w:pStyle w:val="ListParagraph"/>
        <w:keepNext/>
        <w:spacing w:after="120"/>
        <w:ind w:left="709"/>
        <w:outlineLvl w:val="0"/>
        <w:rPr>
          <w:rFonts w:cs="Arial"/>
          <w:bCs/>
          <w:kern w:val="32"/>
          <w:szCs w:val="24"/>
        </w:rPr>
      </w:pPr>
      <w:r w:rsidRPr="00881710">
        <w:rPr>
          <w:rFonts w:cs="Arial"/>
          <w:bCs/>
          <w:i/>
          <w:kern w:val="32"/>
          <w:szCs w:val="24"/>
          <w:u w:val="single"/>
        </w:rPr>
        <w:t>Bad Debt Write Off</w:t>
      </w:r>
    </w:p>
    <w:p w14:paraId="6FF44CE6" w14:textId="21C32B93" w:rsidR="00785D40" w:rsidRPr="00881710" w:rsidRDefault="00881710" w:rsidP="008210B6">
      <w:pPr>
        <w:keepNext/>
        <w:spacing w:after="120"/>
        <w:ind w:left="709" w:hanging="709"/>
        <w:jc w:val="both"/>
        <w:outlineLvl w:val="0"/>
        <w:rPr>
          <w:rFonts w:cs="Arial"/>
          <w:bCs/>
          <w:kern w:val="32"/>
          <w:szCs w:val="24"/>
        </w:rPr>
      </w:pPr>
      <w:r>
        <w:rPr>
          <w:rFonts w:cs="Arial"/>
          <w:bCs/>
          <w:kern w:val="32"/>
          <w:szCs w:val="24"/>
        </w:rPr>
        <w:t>2.31</w:t>
      </w:r>
      <w:r>
        <w:rPr>
          <w:rFonts w:cs="Arial"/>
          <w:bCs/>
          <w:kern w:val="32"/>
          <w:szCs w:val="24"/>
        </w:rPr>
        <w:tab/>
      </w:r>
      <w:r w:rsidRPr="00881710">
        <w:rPr>
          <w:rFonts w:cs="Arial"/>
          <w:bCs/>
          <w:kern w:val="32"/>
          <w:szCs w:val="24"/>
        </w:rPr>
        <w:t>Fo</w:t>
      </w:r>
      <w:r w:rsidR="00785D40" w:rsidRPr="00881710">
        <w:rPr>
          <w:rFonts w:cs="Arial"/>
          <w:bCs/>
          <w:kern w:val="32"/>
          <w:szCs w:val="24"/>
        </w:rPr>
        <w:t xml:space="preserve">llowing a review of its debts, the Housing Service has identified amounts in the Housing Revenue Account totalling £72k which </w:t>
      </w:r>
      <w:r w:rsidR="003E4312" w:rsidRPr="00881710">
        <w:rPr>
          <w:rFonts w:cs="Arial"/>
          <w:bCs/>
          <w:kern w:val="32"/>
          <w:szCs w:val="24"/>
        </w:rPr>
        <w:t>are</w:t>
      </w:r>
      <w:r w:rsidR="00785D40" w:rsidRPr="00881710">
        <w:rPr>
          <w:rFonts w:cs="Arial"/>
          <w:bCs/>
          <w:kern w:val="32"/>
          <w:szCs w:val="24"/>
        </w:rPr>
        <w:t xml:space="preserve"> no longer considered recoverable, £44k of which relates to deceased tenants, with the remainder due to tenants not traceable following exhaustion of all approved channels. These debts have already been provided for and represent no additional charge to HRA balances. In </w:t>
      </w:r>
      <w:r w:rsidR="00785D40" w:rsidRPr="00881710">
        <w:rPr>
          <w:rFonts w:cs="Arial"/>
          <w:bCs/>
          <w:kern w:val="32"/>
          <w:szCs w:val="24"/>
        </w:rPr>
        <w:lastRenderedPageBreak/>
        <w:t>line with the Council’s debt management policy, it is recommended Cabinet approves the write off of this amount.</w:t>
      </w:r>
    </w:p>
    <w:p w14:paraId="73DD211D" w14:textId="77777777" w:rsidR="00785D40" w:rsidRPr="00785D40" w:rsidRDefault="00785D40" w:rsidP="00785D40">
      <w:pPr>
        <w:pStyle w:val="ListParagraph"/>
        <w:keepNext/>
        <w:spacing w:after="120"/>
        <w:ind w:left="689"/>
        <w:outlineLvl w:val="0"/>
        <w:rPr>
          <w:rFonts w:cs="Arial"/>
          <w:bCs/>
          <w:kern w:val="32"/>
          <w:szCs w:val="24"/>
        </w:rPr>
      </w:pPr>
    </w:p>
    <w:p w14:paraId="2EBFD083" w14:textId="77777777" w:rsidR="00AA5DFC" w:rsidRDefault="00AA5DFC" w:rsidP="003D460D">
      <w:pPr>
        <w:keepNext/>
        <w:spacing w:after="120"/>
        <w:ind w:left="16"/>
        <w:outlineLvl w:val="0"/>
        <w:rPr>
          <w:rFonts w:cs="Arial"/>
          <w:b/>
          <w:bCs/>
          <w:kern w:val="32"/>
          <w:szCs w:val="24"/>
          <w:u w:val="single"/>
        </w:rPr>
      </w:pPr>
    </w:p>
    <w:p w14:paraId="2EA22DF3" w14:textId="131EBE4A" w:rsidR="00741AEB" w:rsidRPr="007475D5" w:rsidRDefault="00AF6F1B" w:rsidP="003D460D">
      <w:pPr>
        <w:keepNext/>
        <w:spacing w:after="120"/>
        <w:ind w:left="16"/>
        <w:outlineLvl w:val="0"/>
        <w:rPr>
          <w:rFonts w:cs="Arial"/>
          <w:b/>
          <w:bCs/>
          <w:kern w:val="32"/>
          <w:szCs w:val="24"/>
          <w:u w:val="single"/>
        </w:rPr>
      </w:pPr>
      <w:r w:rsidRPr="007475D5">
        <w:rPr>
          <w:rFonts w:cs="Arial"/>
          <w:b/>
          <w:bCs/>
          <w:kern w:val="32"/>
          <w:szCs w:val="24"/>
          <w:u w:val="single"/>
        </w:rPr>
        <w:t>P</w:t>
      </w:r>
      <w:r w:rsidR="00152955" w:rsidRPr="007475D5">
        <w:rPr>
          <w:rFonts w:cs="Arial"/>
          <w:b/>
          <w:bCs/>
          <w:kern w:val="32"/>
          <w:szCs w:val="24"/>
          <w:u w:val="single"/>
        </w:rPr>
        <w:t>eople</w:t>
      </w:r>
      <w:r w:rsidR="007D1D99">
        <w:rPr>
          <w:rFonts w:cs="Arial"/>
          <w:b/>
          <w:bCs/>
          <w:kern w:val="32"/>
          <w:szCs w:val="24"/>
          <w:u w:val="single"/>
        </w:rPr>
        <w:t>’s</w:t>
      </w:r>
      <w:r w:rsidR="00152955" w:rsidRPr="007475D5">
        <w:rPr>
          <w:rFonts w:cs="Arial"/>
          <w:b/>
          <w:bCs/>
          <w:kern w:val="32"/>
          <w:szCs w:val="24"/>
          <w:u w:val="single"/>
        </w:rPr>
        <w:t xml:space="preserve"> Directorate</w:t>
      </w:r>
    </w:p>
    <w:p w14:paraId="1EC99879" w14:textId="4A67D6CC" w:rsidR="00440EBF" w:rsidRPr="00090038" w:rsidRDefault="0039654F" w:rsidP="00615AE4">
      <w:pPr>
        <w:ind w:left="709" w:hanging="709"/>
        <w:rPr>
          <w:rFonts w:cs="Arial"/>
          <w:szCs w:val="24"/>
        </w:rPr>
      </w:pPr>
      <w:r>
        <w:t>2.3</w:t>
      </w:r>
      <w:r w:rsidR="00F67A46">
        <w:t>2</w:t>
      </w:r>
      <w:r w:rsidR="007D291B">
        <w:t xml:space="preserve">    </w:t>
      </w:r>
      <w:r w:rsidR="00B63C98" w:rsidRPr="007475D5">
        <w:t>The People’s</w:t>
      </w:r>
      <w:r w:rsidR="00B63C98" w:rsidRPr="00EB58F7">
        <w:t xml:space="preserve"> Directorate is forecasting an over spend of </w:t>
      </w:r>
      <w:r w:rsidR="00B63C98" w:rsidRPr="00D32187">
        <w:rPr>
          <w:b/>
        </w:rPr>
        <w:t>£</w:t>
      </w:r>
      <w:r w:rsidR="00EA5DE4">
        <w:rPr>
          <w:b/>
        </w:rPr>
        <w:t>6.191</w:t>
      </w:r>
      <w:r w:rsidR="00B63C98" w:rsidRPr="00D32187">
        <w:rPr>
          <w:b/>
        </w:rPr>
        <w:t xml:space="preserve">m </w:t>
      </w:r>
      <w:r w:rsidR="00B63C98" w:rsidRPr="00EB58F7">
        <w:t xml:space="preserve">at </w:t>
      </w:r>
    </w:p>
    <w:p w14:paraId="36EB2197" w14:textId="4F274656" w:rsidR="00440EBF" w:rsidRDefault="00440EBF" w:rsidP="009E22B0">
      <w:pPr>
        <w:rPr>
          <w:rFonts w:cs="Arial"/>
          <w:szCs w:val="24"/>
        </w:rPr>
      </w:pPr>
      <w:r>
        <w:tab/>
      </w:r>
      <w:r w:rsidR="00B63C98">
        <w:t>Quarter</w:t>
      </w:r>
      <w:r w:rsidR="00364570">
        <w:t xml:space="preserve"> </w:t>
      </w:r>
      <w:r w:rsidR="00EA5DE4">
        <w:t>3</w:t>
      </w:r>
      <w:r w:rsidR="000A4437" w:rsidRPr="008B25B2">
        <w:rPr>
          <w:rFonts w:cs="Arial"/>
          <w:szCs w:val="24"/>
        </w:rPr>
        <w:t>. This is a</w:t>
      </w:r>
      <w:r w:rsidR="001617BD" w:rsidRPr="003728EE">
        <w:rPr>
          <w:rFonts w:cs="Arial"/>
          <w:szCs w:val="24"/>
        </w:rPr>
        <w:t>fter one off planned management action</w:t>
      </w:r>
      <w:r w:rsidR="008F233C" w:rsidRPr="008D4ADA">
        <w:rPr>
          <w:rFonts w:cs="Arial"/>
          <w:szCs w:val="24"/>
        </w:rPr>
        <w:t>s</w:t>
      </w:r>
      <w:r w:rsidR="001617BD" w:rsidRPr="008D4ADA">
        <w:rPr>
          <w:rFonts w:cs="Arial"/>
          <w:szCs w:val="24"/>
        </w:rPr>
        <w:t xml:space="preserve"> and </w:t>
      </w:r>
      <w:r w:rsidR="008F233C" w:rsidRPr="008D4ADA">
        <w:rPr>
          <w:rFonts w:cs="Arial"/>
          <w:szCs w:val="24"/>
        </w:rPr>
        <w:t xml:space="preserve">use </w:t>
      </w:r>
    </w:p>
    <w:p w14:paraId="75746A34" w14:textId="3D262EE2" w:rsidR="006A4ADD" w:rsidRDefault="00440EBF" w:rsidP="009E22B0">
      <w:pPr>
        <w:rPr>
          <w:rFonts w:cs="Arial"/>
          <w:szCs w:val="24"/>
        </w:rPr>
      </w:pPr>
      <w:r>
        <w:rPr>
          <w:rFonts w:cs="Arial"/>
          <w:szCs w:val="24"/>
        </w:rPr>
        <w:tab/>
      </w:r>
      <w:r w:rsidR="00364570">
        <w:rPr>
          <w:rFonts w:cs="Arial"/>
          <w:szCs w:val="24"/>
        </w:rPr>
        <w:t>o</w:t>
      </w:r>
      <w:r w:rsidR="00364570" w:rsidRPr="008B25B2">
        <w:rPr>
          <w:rFonts w:cs="Arial"/>
          <w:szCs w:val="24"/>
        </w:rPr>
        <w:t>f</w:t>
      </w:r>
      <w:r w:rsidR="008F233C" w:rsidRPr="008B25B2">
        <w:rPr>
          <w:rFonts w:cs="Arial"/>
          <w:szCs w:val="24"/>
        </w:rPr>
        <w:t xml:space="preserve"> Children’s Social Care Reserve </w:t>
      </w:r>
      <w:r w:rsidR="00CF4A50">
        <w:rPr>
          <w:rFonts w:cs="Arial"/>
          <w:szCs w:val="24"/>
        </w:rPr>
        <w:t>of</w:t>
      </w:r>
      <w:r w:rsidR="001617BD" w:rsidRPr="003728EE">
        <w:rPr>
          <w:rFonts w:cs="Arial"/>
          <w:szCs w:val="24"/>
        </w:rPr>
        <w:t xml:space="preserve"> £1.8</w:t>
      </w:r>
      <w:r w:rsidR="00EA5DE4">
        <w:rPr>
          <w:rFonts w:cs="Arial"/>
          <w:szCs w:val="24"/>
        </w:rPr>
        <w:t>90</w:t>
      </w:r>
      <w:r w:rsidR="001617BD" w:rsidRPr="008D4ADA">
        <w:rPr>
          <w:rFonts w:cs="Arial"/>
          <w:szCs w:val="24"/>
        </w:rPr>
        <w:t>m.</w:t>
      </w:r>
    </w:p>
    <w:p w14:paraId="7D0C9F25" w14:textId="77777777" w:rsidR="00F41EA3" w:rsidRDefault="00F41EA3" w:rsidP="007D1D99">
      <w:pPr>
        <w:ind w:firstLine="720"/>
        <w:rPr>
          <w:rFonts w:cs="Arial"/>
          <w:szCs w:val="24"/>
        </w:rPr>
      </w:pPr>
    </w:p>
    <w:p w14:paraId="25C9ABC0" w14:textId="77777777" w:rsidR="00D57576" w:rsidRDefault="00D57576" w:rsidP="007D1D99">
      <w:pPr>
        <w:ind w:firstLine="720"/>
        <w:rPr>
          <w:rFonts w:cs="Arial"/>
          <w:b/>
          <w:szCs w:val="24"/>
          <w:u w:val="single"/>
        </w:rPr>
      </w:pPr>
    </w:p>
    <w:p w14:paraId="3C716329" w14:textId="77777777" w:rsidR="00D57576" w:rsidRDefault="00D57576" w:rsidP="007D1D99">
      <w:pPr>
        <w:ind w:firstLine="720"/>
        <w:rPr>
          <w:rFonts w:cs="Arial"/>
          <w:b/>
          <w:szCs w:val="24"/>
          <w:u w:val="single"/>
        </w:rPr>
      </w:pPr>
    </w:p>
    <w:p w14:paraId="249506C5" w14:textId="15341E3D" w:rsidR="00587B0D" w:rsidRPr="00AF598E" w:rsidRDefault="007D1D99" w:rsidP="007D1D99">
      <w:pPr>
        <w:ind w:firstLine="720"/>
        <w:rPr>
          <w:rFonts w:cs="Arial"/>
          <w:b/>
          <w:szCs w:val="24"/>
          <w:u w:val="single"/>
        </w:rPr>
      </w:pPr>
      <w:r w:rsidRPr="00AF598E">
        <w:rPr>
          <w:rFonts w:cs="Arial"/>
          <w:b/>
          <w:szCs w:val="24"/>
          <w:u w:val="single"/>
        </w:rPr>
        <w:t>Table 5: People</w:t>
      </w:r>
      <w:r w:rsidR="00AF598E" w:rsidRPr="00AF598E">
        <w:rPr>
          <w:rFonts w:cs="Arial"/>
          <w:b/>
          <w:szCs w:val="24"/>
          <w:u w:val="single"/>
        </w:rPr>
        <w:t xml:space="preserve">’s </w:t>
      </w:r>
      <w:r w:rsidR="00673E50">
        <w:rPr>
          <w:rFonts w:cs="Arial"/>
          <w:b/>
          <w:szCs w:val="24"/>
          <w:u w:val="single"/>
        </w:rPr>
        <w:t xml:space="preserve">Directorate’s </w:t>
      </w:r>
      <w:r w:rsidR="00AF598E" w:rsidRPr="00AF598E">
        <w:rPr>
          <w:rFonts w:cs="Arial"/>
          <w:b/>
          <w:szCs w:val="24"/>
          <w:u w:val="single"/>
        </w:rPr>
        <w:t>Variance</w:t>
      </w:r>
    </w:p>
    <w:p w14:paraId="4FF6F448" w14:textId="77777777" w:rsidR="00AF598E" w:rsidRDefault="00AF598E" w:rsidP="007D1D99">
      <w:pPr>
        <w:ind w:firstLine="720"/>
        <w:rPr>
          <w:rFonts w:cs="Arial"/>
          <w:szCs w:val="24"/>
        </w:rPr>
      </w:pPr>
    </w:p>
    <w:tbl>
      <w:tblPr>
        <w:tblW w:w="6440" w:type="dxa"/>
        <w:tblInd w:w="939" w:type="dxa"/>
        <w:tblLook w:val="04A0" w:firstRow="1" w:lastRow="0" w:firstColumn="1" w:lastColumn="0" w:noHBand="0" w:noVBand="1"/>
      </w:tblPr>
      <w:tblGrid>
        <w:gridCol w:w="1480"/>
        <w:gridCol w:w="1600"/>
        <w:gridCol w:w="1340"/>
        <w:gridCol w:w="2020"/>
      </w:tblGrid>
      <w:tr w:rsidR="00F41EA3" w:rsidRPr="00F41EA3" w14:paraId="35DDB251" w14:textId="77777777" w:rsidTr="00F41EA3">
        <w:trPr>
          <w:trHeight w:val="915"/>
        </w:trPr>
        <w:tc>
          <w:tcPr>
            <w:tcW w:w="1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F70806" w14:textId="77777777" w:rsidR="00F41EA3" w:rsidRPr="00F41EA3" w:rsidRDefault="00F41EA3" w:rsidP="00F41EA3">
            <w:pPr>
              <w:rPr>
                <w:rFonts w:cs="Arial"/>
                <w:color w:val="000000"/>
                <w:szCs w:val="24"/>
                <w:lang w:eastAsia="en-GB"/>
              </w:rPr>
            </w:pPr>
            <w:r w:rsidRPr="00F41EA3">
              <w:rPr>
                <w:rFonts w:cs="Arial"/>
                <w:color w:val="000000"/>
                <w:szCs w:val="24"/>
                <w:lang w:eastAsia="en-GB"/>
              </w:rPr>
              <w:t> </w:t>
            </w:r>
          </w:p>
        </w:tc>
        <w:tc>
          <w:tcPr>
            <w:tcW w:w="1600" w:type="dxa"/>
            <w:tcBorders>
              <w:top w:val="single" w:sz="8" w:space="0" w:color="auto"/>
              <w:left w:val="nil"/>
              <w:bottom w:val="single" w:sz="8" w:space="0" w:color="auto"/>
              <w:right w:val="single" w:sz="8" w:space="0" w:color="auto"/>
            </w:tcBorders>
            <w:shd w:val="clear" w:color="auto" w:fill="auto"/>
            <w:vAlign w:val="bottom"/>
            <w:hideMark/>
          </w:tcPr>
          <w:p w14:paraId="66FBD3DA" w14:textId="77777777" w:rsidR="00F41EA3" w:rsidRPr="00F41EA3" w:rsidRDefault="00F41EA3" w:rsidP="00F41EA3">
            <w:pPr>
              <w:rPr>
                <w:rFonts w:cs="Arial"/>
                <w:color w:val="000000"/>
                <w:szCs w:val="24"/>
                <w:lang w:eastAsia="en-GB"/>
              </w:rPr>
            </w:pPr>
            <w:r w:rsidRPr="00F41EA3">
              <w:rPr>
                <w:rFonts w:cs="Arial"/>
                <w:color w:val="000000"/>
                <w:szCs w:val="24"/>
                <w:lang w:eastAsia="en-GB"/>
              </w:rPr>
              <w:t>Quarter 3 Variance</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14:paraId="65FB2DD5" w14:textId="77777777" w:rsidR="00F41EA3" w:rsidRPr="00F41EA3" w:rsidRDefault="00F41EA3" w:rsidP="00F41EA3">
            <w:pPr>
              <w:rPr>
                <w:rFonts w:cs="Arial"/>
                <w:color w:val="000000"/>
                <w:szCs w:val="24"/>
                <w:lang w:eastAsia="en-GB"/>
              </w:rPr>
            </w:pPr>
            <w:r w:rsidRPr="00F41EA3">
              <w:rPr>
                <w:rFonts w:cs="Arial"/>
                <w:color w:val="000000"/>
                <w:szCs w:val="24"/>
                <w:lang w:eastAsia="en-GB"/>
              </w:rPr>
              <w:t xml:space="preserve">Quarter 2 Variance </w:t>
            </w:r>
          </w:p>
        </w:tc>
        <w:tc>
          <w:tcPr>
            <w:tcW w:w="2020" w:type="dxa"/>
            <w:tcBorders>
              <w:top w:val="single" w:sz="8" w:space="0" w:color="auto"/>
              <w:left w:val="nil"/>
              <w:bottom w:val="single" w:sz="8" w:space="0" w:color="auto"/>
              <w:right w:val="single" w:sz="8" w:space="0" w:color="auto"/>
            </w:tcBorders>
            <w:shd w:val="clear" w:color="auto" w:fill="auto"/>
            <w:vAlign w:val="bottom"/>
            <w:hideMark/>
          </w:tcPr>
          <w:p w14:paraId="701A23D6" w14:textId="77777777" w:rsidR="00F41EA3" w:rsidRPr="00F41EA3" w:rsidRDefault="00F41EA3" w:rsidP="00F41EA3">
            <w:pPr>
              <w:rPr>
                <w:rFonts w:cs="Arial"/>
                <w:color w:val="000000"/>
                <w:szCs w:val="24"/>
                <w:lang w:eastAsia="en-GB"/>
              </w:rPr>
            </w:pPr>
            <w:r w:rsidRPr="00F41EA3">
              <w:rPr>
                <w:rFonts w:cs="Arial"/>
                <w:color w:val="000000"/>
                <w:szCs w:val="24"/>
                <w:lang w:eastAsia="en-GB"/>
              </w:rPr>
              <w:t>Movement between Quarter 3 and Quarter 2</w:t>
            </w:r>
          </w:p>
        </w:tc>
      </w:tr>
      <w:tr w:rsidR="00F41EA3" w:rsidRPr="00F41EA3" w14:paraId="3FBD7E8A" w14:textId="77777777" w:rsidTr="00F41EA3">
        <w:trPr>
          <w:trHeight w:val="315"/>
        </w:trPr>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150EA4B8" w14:textId="77777777" w:rsidR="00F41EA3" w:rsidRPr="00F41EA3" w:rsidRDefault="00F41EA3" w:rsidP="00F41EA3">
            <w:pPr>
              <w:rPr>
                <w:rFonts w:cs="Arial"/>
                <w:color w:val="000000"/>
                <w:szCs w:val="24"/>
                <w:lang w:eastAsia="en-GB"/>
              </w:rPr>
            </w:pPr>
            <w:r w:rsidRPr="00F41EA3">
              <w:rPr>
                <w:rFonts w:cs="Arial"/>
                <w:color w:val="000000"/>
                <w:szCs w:val="24"/>
                <w:lang w:eastAsia="en-GB"/>
              </w:rPr>
              <w:t> </w:t>
            </w:r>
          </w:p>
        </w:tc>
        <w:tc>
          <w:tcPr>
            <w:tcW w:w="1600" w:type="dxa"/>
            <w:tcBorders>
              <w:top w:val="nil"/>
              <w:left w:val="nil"/>
              <w:bottom w:val="single" w:sz="8" w:space="0" w:color="auto"/>
              <w:right w:val="single" w:sz="8" w:space="0" w:color="auto"/>
            </w:tcBorders>
            <w:shd w:val="clear" w:color="auto" w:fill="auto"/>
            <w:vAlign w:val="bottom"/>
            <w:hideMark/>
          </w:tcPr>
          <w:p w14:paraId="6DD1F1C5" w14:textId="77777777" w:rsidR="00F41EA3" w:rsidRPr="00F41EA3" w:rsidRDefault="00F41EA3" w:rsidP="00F41EA3">
            <w:pPr>
              <w:rPr>
                <w:rFonts w:cs="Arial"/>
                <w:color w:val="000000"/>
                <w:szCs w:val="24"/>
                <w:lang w:eastAsia="en-GB"/>
              </w:rPr>
            </w:pPr>
            <w:r w:rsidRPr="00F41EA3">
              <w:rPr>
                <w:rFonts w:cs="Arial"/>
                <w:color w:val="000000"/>
                <w:szCs w:val="24"/>
                <w:lang w:eastAsia="en-GB"/>
              </w:rPr>
              <w:t>£'000</w:t>
            </w:r>
          </w:p>
        </w:tc>
        <w:tc>
          <w:tcPr>
            <w:tcW w:w="1340" w:type="dxa"/>
            <w:tcBorders>
              <w:top w:val="nil"/>
              <w:left w:val="nil"/>
              <w:bottom w:val="single" w:sz="8" w:space="0" w:color="auto"/>
              <w:right w:val="single" w:sz="8" w:space="0" w:color="auto"/>
            </w:tcBorders>
            <w:shd w:val="clear" w:color="auto" w:fill="auto"/>
            <w:vAlign w:val="bottom"/>
            <w:hideMark/>
          </w:tcPr>
          <w:p w14:paraId="2A3504FC" w14:textId="77777777" w:rsidR="00F41EA3" w:rsidRPr="00F41EA3" w:rsidRDefault="00F41EA3" w:rsidP="00F41EA3">
            <w:pPr>
              <w:rPr>
                <w:rFonts w:cs="Arial"/>
                <w:color w:val="000000"/>
                <w:szCs w:val="24"/>
                <w:lang w:eastAsia="en-GB"/>
              </w:rPr>
            </w:pPr>
            <w:r w:rsidRPr="00F41EA3">
              <w:rPr>
                <w:rFonts w:cs="Arial"/>
                <w:color w:val="000000"/>
                <w:szCs w:val="24"/>
                <w:lang w:eastAsia="en-GB"/>
              </w:rPr>
              <w:t>£'000</w:t>
            </w:r>
          </w:p>
        </w:tc>
        <w:tc>
          <w:tcPr>
            <w:tcW w:w="2020" w:type="dxa"/>
            <w:tcBorders>
              <w:top w:val="nil"/>
              <w:left w:val="nil"/>
              <w:bottom w:val="single" w:sz="8" w:space="0" w:color="auto"/>
              <w:right w:val="single" w:sz="8" w:space="0" w:color="auto"/>
            </w:tcBorders>
            <w:shd w:val="clear" w:color="auto" w:fill="auto"/>
            <w:vAlign w:val="bottom"/>
            <w:hideMark/>
          </w:tcPr>
          <w:p w14:paraId="4F0CF91C" w14:textId="77777777" w:rsidR="00F41EA3" w:rsidRPr="00F41EA3" w:rsidRDefault="00F41EA3" w:rsidP="00F41EA3">
            <w:pPr>
              <w:rPr>
                <w:rFonts w:cs="Arial"/>
                <w:color w:val="000000"/>
                <w:szCs w:val="24"/>
                <w:lang w:eastAsia="en-GB"/>
              </w:rPr>
            </w:pPr>
            <w:r w:rsidRPr="00F41EA3">
              <w:rPr>
                <w:rFonts w:cs="Arial"/>
                <w:color w:val="000000"/>
                <w:szCs w:val="24"/>
                <w:lang w:eastAsia="en-GB"/>
              </w:rPr>
              <w:t>£'000</w:t>
            </w:r>
          </w:p>
        </w:tc>
      </w:tr>
      <w:tr w:rsidR="00F41EA3" w:rsidRPr="00F41EA3" w14:paraId="2865F8DF" w14:textId="77777777" w:rsidTr="00F41EA3">
        <w:trPr>
          <w:trHeight w:val="315"/>
        </w:trPr>
        <w:tc>
          <w:tcPr>
            <w:tcW w:w="1480" w:type="dxa"/>
            <w:tcBorders>
              <w:top w:val="nil"/>
              <w:left w:val="single" w:sz="8" w:space="0" w:color="auto"/>
              <w:bottom w:val="single" w:sz="8" w:space="0" w:color="auto"/>
              <w:right w:val="single" w:sz="8" w:space="0" w:color="auto"/>
            </w:tcBorders>
            <w:shd w:val="clear" w:color="auto" w:fill="auto"/>
            <w:vAlign w:val="bottom"/>
            <w:hideMark/>
          </w:tcPr>
          <w:p w14:paraId="63AC4607" w14:textId="77777777" w:rsidR="00F41EA3" w:rsidRPr="00F41EA3" w:rsidRDefault="00F41EA3" w:rsidP="00F41EA3">
            <w:pPr>
              <w:rPr>
                <w:rFonts w:cs="Arial"/>
                <w:color w:val="000000"/>
                <w:szCs w:val="24"/>
                <w:lang w:eastAsia="en-GB"/>
              </w:rPr>
            </w:pPr>
            <w:r w:rsidRPr="00F41EA3">
              <w:rPr>
                <w:rFonts w:cs="Arial"/>
                <w:color w:val="000000"/>
                <w:szCs w:val="24"/>
                <w:lang w:eastAsia="en-GB"/>
              </w:rPr>
              <w:t>Adult</w:t>
            </w:r>
          </w:p>
        </w:tc>
        <w:tc>
          <w:tcPr>
            <w:tcW w:w="1600" w:type="dxa"/>
            <w:tcBorders>
              <w:top w:val="nil"/>
              <w:left w:val="nil"/>
              <w:bottom w:val="single" w:sz="8" w:space="0" w:color="auto"/>
              <w:right w:val="single" w:sz="8" w:space="0" w:color="auto"/>
            </w:tcBorders>
            <w:shd w:val="clear" w:color="auto" w:fill="auto"/>
            <w:noWrap/>
            <w:vAlign w:val="bottom"/>
            <w:hideMark/>
          </w:tcPr>
          <w:p w14:paraId="630768D6" w14:textId="77777777" w:rsidR="00F41EA3" w:rsidRPr="00F41EA3" w:rsidRDefault="00F41EA3" w:rsidP="00F41EA3">
            <w:pPr>
              <w:jc w:val="right"/>
              <w:rPr>
                <w:rFonts w:cs="Arial"/>
                <w:color w:val="000000"/>
                <w:sz w:val="22"/>
                <w:szCs w:val="22"/>
                <w:lang w:eastAsia="en-GB"/>
              </w:rPr>
            </w:pPr>
            <w:r w:rsidRPr="00F41EA3">
              <w:rPr>
                <w:rFonts w:cs="Arial"/>
                <w:color w:val="000000"/>
                <w:sz w:val="22"/>
                <w:szCs w:val="24"/>
                <w:lang w:eastAsia="en-GB"/>
              </w:rPr>
              <w:t>2,802</w:t>
            </w:r>
          </w:p>
        </w:tc>
        <w:tc>
          <w:tcPr>
            <w:tcW w:w="1340" w:type="dxa"/>
            <w:tcBorders>
              <w:top w:val="nil"/>
              <w:left w:val="nil"/>
              <w:bottom w:val="single" w:sz="8" w:space="0" w:color="auto"/>
              <w:right w:val="single" w:sz="8" w:space="0" w:color="auto"/>
            </w:tcBorders>
            <w:shd w:val="clear" w:color="auto" w:fill="auto"/>
            <w:noWrap/>
            <w:vAlign w:val="bottom"/>
            <w:hideMark/>
          </w:tcPr>
          <w:p w14:paraId="2E4DC1F8" w14:textId="77777777" w:rsidR="00F41EA3" w:rsidRPr="00F41EA3" w:rsidRDefault="00F41EA3" w:rsidP="00F41EA3">
            <w:pPr>
              <w:jc w:val="right"/>
              <w:rPr>
                <w:rFonts w:cs="Arial"/>
                <w:color w:val="000000"/>
                <w:sz w:val="22"/>
                <w:szCs w:val="22"/>
                <w:lang w:eastAsia="en-GB"/>
              </w:rPr>
            </w:pPr>
            <w:r w:rsidRPr="00F41EA3">
              <w:rPr>
                <w:rFonts w:cs="Arial"/>
                <w:color w:val="000000"/>
                <w:sz w:val="22"/>
                <w:szCs w:val="24"/>
                <w:lang w:eastAsia="en-GB"/>
              </w:rPr>
              <w:t>2,400</w:t>
            </w:r>
          </w:p>
        </w:tc>
        <w:tc>
          <w:tcPr>
            <w:tcW w:w="2020" w:type="dxa"/>
            <w:tcBorders>
              <w:top w:val="nil"/>
              <w:left w:val="nil"/>
              <w:bottom w:val="single" w:sz="8" w:space="0" w:color="auto"/>
              <w:right w:val="single" w:sz="8" w:space="0" w:color="auto"/>
            </w:tcBorders>
            <w:shd w:val="clear" w:color="auto" w:fill="auto"/>
            <w:noWrap/>
            <w:vAlign w:val="bottom"/>
            <w:hideMark/>
          </w:tcPr>
          <w:p w14:paraId="781713F8" w14:textId="77777777" w:rsidR="00F41EA3" w:rsidRPr="00F41EA3" w:rsidRDefault="00F41EA3" w:rsidP="00F41EA3">
            <w:pPr>
              <w:jc w:val="right"/>
              <w:rPr>
                <w:rFonts w:cs="Arial"/>
                <w:color w:val="000000"/>
                <w:sz w:val="22"/>
                <w:szCs w:val="22"/>
                <w:lang w:eastAsia="en-GB"/>
              </w:rPr>
            </w:pPr>
            <w:r w:rsidRPr="00F41EA3">
              <w:rPr>
                <w:rFonts w:cs="Arial"/>
                <w:color w:val="000000"/>
                <w:sz w:val="22"/>
                <w:szCs w:val="24"/>
                <w:lang w:eastAsia="en-GB"/>
              </w:rPr>
              <w:t>402</w:t>
            </w:r>
          </w:p>
        </w:tc>
      </w:tr>
      <w:tr w:rsidR="00F41EA3" w:rsidRPr="00F41EA3" w14:paraId="1A9D6C3C" w14:textId="77777777" w:rsidTr="00F41EA3">
        <w:trPr>
          <w:trHeight w:val="315"/>
        </w:trPr>
        <w:tc>
          <w:tcPr>
            <w:tcW w:w="1480" w:type="dxa"/>
            <w:tcBorders>
              <w:top w:val="nil"/>
              <w:left w:val="single" w:sz="8" w:space="0" w:color="auto"/>
              <w:bottom w:val="single" w:sz="8" w:space="0" w:color="auto"/>
              <w:right w:val="single" w:sz="8" w:space="0" w:color="auto"/>
            </w:tcBorders>
            <w:shd w:val="clear" w:color="auto" w:fill="auto"/>
            <w:vAlign w:val="bottom"/>
            <w:hideMark/>
          </w:tcPr>
          <w:p w14:paraId="6B094C84" w14:textId="77777777" w:rsidR="00F41EA3" w:rsidRPr="00F41EA3" w:rsidRDefault="00F41EA3" w:rsidP="00F41EA3">
            <w:pPr>
              <w:rPr>
                <w:rFonts w:cs="Arial"/>
                <w:color w:val="000000"/>
                <w:szCs w:val="24"/>
                <w:lang w:eastAsia="en-GB"/>
              </w:rPr>
            </w:pPr>
            <w:r w:rsidRPr="00F41EA3">
              <w:rPr>
                <w:rFonts w:cs="Arial"/>
                <w:color w:val="000000"/>
                <w:szCs w:val="24"/>
                <w:lang w:eastAsia="en-GB"/>
              </w:rPr>
              <w:t>Children</w:t>
            </w:r>
          </w:p>
        </w:tc>
        <w:tc>
          <w:tcPr>
            <w:tcW w:w="1600" w:type="dxa"/>
            <w:tcBorders>
              <w:top w:val="nil"/>
              <w:left w:val="nil"/>
              <w:bottom w:val="single" w:sz="8" w:space="0" w:color="auto"/>
              <w:right w:val="single" w:sz="8" w:space="0" w:color="auto"/>
            </w:tcBorders>
            <w:shd w:val="clear" w:color="auto" w:fill="auto"/>
            <w:noWrap/>
            <w:vAlign w:val="bottom"/>
            <w:hideMark/>
          </w:tcPr>
          <w:p w14:paraId="5EC9450F" w14:textId="77777777" w:rsidR="00F41EA3" w:rsidRPr="00F41EA3" w:rsidRDefault="00F41EA3" w:rsidP="00F41EA3">
            <w:pPr>
              <w:jc w:val="right"/>
              <w:rPr>
                <w:rFonts w:cs="Arial"/>
                <w:color w:val="000000"/>
                <w:sz w:val="22"/>
                <w:szCs w:val="22"/>
                <w:lang w:eastAsia="en-GB"/>
              </w:rPr>
            </w:pPr>
            <w:r w:rsidRPr="00F41EA3">
              <w:rPr>
                <w:rFonts w:cs="Arial"/>
                <w:color w:val="000000"/>
                <w:sz w:val="22"/>
                <w:szCs w:val="24"/>
                <w:lang w:eastAsia="en-GB"/>
              </w:rPr>
              <w:t>4,300</w:t>
            </w:r>
          </w:p>
        </w:tc>
        <w:tc>
          <w:tcPr>
            <w:tcW w:w="1340" w:type="dxa"/>
            <w:tcBorders>
              <w:top w:val="nil"/>
              <w:left w:val="nil"/>
              <w:bottom w:val="single" w:sz="8" w:space="0" w:color="auto"/>
              <w:right w:val="single" w:sz="8" w:space="0" w:color="auto"/>
            </w:tcBorders>
            <w:shd w:val="clear" w:color="auto" w:fill="auto"/>
            <w:noWrap/>
            <w:vAlign w:val="bottom"/>
            <w:hideMark/>
          </w:tcPr>
          <w:p w14:paraId="6A6B39DF" w14:textId="77777777" w:rsidR="00F41EA3" w:rsidRPr="00F41EA3" w:rsidRDefault="00F41EA3" w:rsidP="00F41EA3">
            <w:pPr>
              <w:jc w:val="right"/>
              <w:rPr>
                <w:rFonts w:cs="Arial"/>
                <w:color w:val="000000"/>
                <w:sz w:val="22"/>
                <w:szCs w:val="22"/>
                <w:lang w:eastAsia="en-GB"/>
              </w:rPr>
            </w:pPr>
            <w:r w:rsidRPr="00F41EA3">
              <w:rPr>
                <w:rFonts w:cs="Arial"/>
                <w:color w:val="000000"/>
                <w:sz w:val="22"/>
                <w:szCs w:val="24"/>
                <w:lang w:eastAsia="en-GB"/>
              </w:rPr>
              <w:t>2,821</w:t>
            </w:r>
          </w:p>
        </w:tc>
        <w:tc>
          <w:tcPr>
            <w:tcW w:w="2020" w:type="dxa"/>
            <w:tcBorders>
              <w:top w:val="nil"/>
              <w:left w:val="nil"/>
              <w:bottom w:val="single" w:sz="8" w:space="0" w:color="auto"/>
              <w:right w:val="single" w:sz="8" w:space="0" w:color="auto"/>
            </w:tcBorders>
            <w:shd w:val="clear" w:color="auto" w:fill="auto"/>
            <w:noWrap/>
            <w:vAlign w:val="bottom"/>
            <w:hideMark/>
          </w:tcPr>
          <w:p w14:paraId="2E980FA8" w14:textId="77777777" w:rsidR="00F41EA3" w:rsidRPr="00F41EA3" w:rsidRDefault="00F41EA3" w:rsidP="00F41EA3">
            <w:pPr>
              <w:jc w:val="right"/>
              <w:rPr>
                <w:rFonts w:cs="Arial"/>
                <w:color w:val="000000"/>
                <w:sz w:val="22"/>
                <w:szCs w:val="22"/>
                <w:lang w:eastAsia="en-GB"/>
              </w:rPr>
            </w:pPr>
            <w:r w:rsidRPr="00F41EA3">
              <w:rPr>
                <w:rFonts w:cs="Arial"/>
                <w:color w:val="000000"/>
                <w:sz w:val="22"/>
                <w:szCs w:val="24"/>
                <w:lang w:eastAsia="en-GB"/>
              </w:rPr>
              <w:t>1,479</w:t>
            </w:r>
          </w:p>
        </w:tc>
      </w:tr>
      <w:tr w:rsidR="00F41EA3" w:rsidRPr="00F41EA3" w14:paraId="2283FB8F" w14:textId="77777777" w:rsidTr="00F41EA3">
        <w:trPr>
          <w:trHeight w:val="360"/>
        </w:trPr>
        <w:tc>
          <w:tcPr>
            <w:tcW w:w="1480" w:type="dxa"/>
            <w:tcBorders>
              <w:top w:val="nil"/>
              <w:left w:val="single" w:sz="8" w:space="0" w:color="auto"/>
              <w:bottom w:val="single" w:sz="8" w:space="0" w:color="auto"/>
              <w:right w:val="single" w:sz="8" w:space="0" w:color="auto"/>
            </w:tcBorders>
            <w:shd w:val="clear" w:color="auto" w:fill="auto"/>
            <w:vAlign w:val="bottom"/>
            <w:hideMark/>
          </w:tcPr>
          <w:p w14:paraId="244E0939" w14:textId="77777777" w:rsidR="00F41EA3" w:rsidRPr="00F41EA3" w:rsidRDefault="00F41EA3" w:rsidP="00F41EA3">
            <w:pPr>
              <w:rPr>
                <w:rFonts w:cs="Arial"/>
                <w:color w:val="000000"/>
                <w:szCs w:val="24"/>
                <w:lang w:eastAsia="en-GB"/>
              </w:rPr>
            </w:pPr>
            <w:r w:rsidRPr="00F41EA3">
              <w:rPr>
                <w:rFonts w:cs="Arial"/>
                <w:color w:val="000000"/>
                <w:szCs w:val="24"/>
                <w:lang w:eastAsia="en-GB"/>
              </w:rPr>
              <w:t>Public Health</w:t>
            </w:r>
          </w:p>
        </w:tc>
        <w:tc>
          <w:tcPr>
            <w:tcW w:w="1600" w:type="dxa"/>
            <w:tcBorders>
              <w:top w:val="nil"/>
              <w:left w:val="nil"/>
              <w:bottom w:val="single" w:sz="8" w:space="0" w:color="auto"/>
              <w:right w:val="single" w:sz="8" w:space="0" w:color="auto"/>
            </w:tcBorders>
            <w:shd w:val="clear" w:color="auto" w:fill="auto"/>
            <w:noWrap/>
            <w:vAlign w:val="bottom"/>
            <w:hideMark/>
          </w:tcPr>
          <w:p w14:paraId="60C497DC" w14:textId="77777777" w:rsidR="00F41EA3" w:rsidRPr="00F41EA3" w:rsidRDefault="00F41EA3" w:rsidP="00F41EA3">
            <w:pPr>
              <w:jc w:val="right"/>
              <w:rPr>
                <w:rFonts w:cs="Arial"/>
                <w:color w:val="000000"/>
                <w:sz w:val="22"/>
                <w:szCs w:val="22"/>
                <w:lang w:eastAsia="en-GB"/>
              </w:rPr>
            </w:pPr>
            <w:r w:rsidRPr="00F41EA3">
              <w:rPr>
                <w:rFonts w:cs="Arial"/>
                <w:color w:val="FF0000"/>
                <w:sz w:val="22"/>
                <w:szCs w:val="24"/>
                <w:lang w:eastAsia="en-GB"/>
              </w:rPr>
              <w:t>(911)</w:t>
            </w:r>
          </w:p>
        </w:tc>
        <w:tc>
          <w:tcPr>
            <w:tcW w:w="1340" w:type="dxa"/>
            <w:tcBorders>
              <w:top w:val="nil"/>
              <w:left w:val="nil"/>
              <w:bottom w:val="single" w:sz="8" w:space="0" w:color="auto"/>
              <w:right w:val="single" w:sz="8" w:space="0" w:color="auto"/>
            </w:tcBorders>
            <w:shd w:val="clear" w:color="auto" w:fill="auto"/>
            <w:noWrap/>
            <w:vAlign w:val="bottom"/>
            <w:hideMark/>
          </w:tcPr>
          <w:p w14:paraId="7102D00D" w14:textId="77777777" w:rsidR="00F41EA3" w:rsidRPr="00F41EA3" w:rsidRDefault="00F41EA3" w:rsidP="00F41EA3">
            <w:pPr>
              <w:jc w:val="right"/>
              <w:rPr>
                <w:rFonts w:cs="Arial"/>
                <w:color w:val="000000"/>
                <w:sz w:val="22"/>
                <w:szCs w:val="22"/>
                <w:lang w:eastAsia="en-GB"/>
              </w:rPr>
            </w:pPr>
            <w:r w:rsidRPr="00F41EA3">
              <w:rPr>
                <w:rFonts w:cs="Arial"/>
                <w:color w:val="FF0000"/>
                <w:sz w:val="22"/>
                <w:szCs w:val="24"/>
                <w:lang w:eastAsia="en-GB"/>
              </w:rPr>
              <w:t>(528)</w:t>
            </w:r>
          </w:p>
        </w:tc>
        <w:tc>
          <w:tcPr>
            <w:tcW w:w="2020" w:type="dxa"/>
            <w:tcBorders>
              <w:top w:val="nil"/>
              <w:left w:val="nil"/>
              <w:bottom w:val="single" w:sz="8" w:space="0" w:color="auto"/>
              <w:right w:val="single" w:sz="8" w:space="0" w:color="auto"/>
            </w:tcBorders>
            <w:shd w:val="clear" w:color="auto" w:fill="auto"/>
            <w:noWrap/>
            <w:vAlign w:val="bottom"/>
            <w:hideMark/>
          </w:tcPr>
          <w:p w14:paraId="13F4699A" w14:textId="77777777" w:rsidR="00F41EA3" w:rsidRPr="00F41EA3" w:rsidRDefault="00F41EA3" w:rsidP="00F41EA3">
            <w:pPr>
              <w:jc w:val="right"/>
              <w:rPr>
                <w:rFonts w:cs="Arial"/>
                <w:color w:val="000000"/>
                <w:sz w:val="22"/>
                <w:szCs w:val="22"/>
                <w:lang w:eastAsia="en-GB"/>
              </w:rPr>
            </w:pPr>
            <w:r w:rsidRPr="00F41EA3">
              <w:rPr>
                <w:rFonts w:cs="Arial"/>
                <w:color w:val="FF0000"/>
                <w:sz w:val="22"/>
                <w:szCs w:val="24"/>
                <w:lang w:eastAsia="en-GB"/>
              </w:rPr>
              <w:t>(383)</w:t>
            </w:r>
          </w:p>
        </w:tc>
      </w:tr>
      <w:tr w:rsidR="00F41EA3" w:rsidRPr="00F41EA3" w14:paraId="7135F016" w14:textId="77777777" w:rsidTr="00F41EA3">
        <w:trPr>
          <w:trHeight w:val="315"/>
        </w:trPr>
        <w:tc>
          <w:tcPr>
            <w:tcW w:w="1480" w:type="dxa"/>
            <w:tcBorders>
              <w:top w:val="nil"/>
              <w:left w:val="single" w:sz="8" w:space="0" w:color="auto"/>
              <w:bottom w:val="single" w:sz="8" w:space="0" w:color="auto"/>
              <w:right w:val="single" w:sz="8" w:space="0" w:color="auto"/>
            </w:tcBorders>
            <w:shd w:val="clear" w:color="auto" w:fill="auto"/>
            <w:vAlign w:val="bottom"/>
            <w:hideMark/>
          </w:tcPr>
          <w:p w14:paraId="3C5662C8" w14:textId="77777777" w:rsidR="00F41EA3" w:rsidRPr="00F41EA3" w:rsidRDefault="00F41EA3" w:rsidP="00F41EA3">
            <w:pPr>
              <w:rPr>
                <w:rFonts w:cs="Arial"/>
                <w:color w:val="000000"/>
                <w:szCs w:val="24"/>
                <w:lang w:eastAsia="en-GB"/>
              </w:rPr>
            </w:pPr>
            <w:r w:rsidRPr="00F41EA3">
              <w:rPr>
                <w:rFonts w:cs="Arial"/>
                <w:color w:val="000000"/>
                <w:szCs w:val="24"/>
                <w:lang w:eastAsia="en-GB"/>
              </w:rPr>
              <w:t>Total</w:t>
            </w:r>
          </w:p>
        </w:tc>
        <w:tc>
          <w:tcPr>
            <w:tcW w:w="1600" w:type="dxa"/>
            <w:tcBorders>
              <w:top w:val="nil"/>
              <w:left w:val="nil"/>
              <w:bottom w:val="single" w:sz="8" w:space="0" w:color="auto"/>
              <w:right w:val="single" w:sz="8" w:space="0" w:color="auto"/>
            </w:tcBorders>
            <w:shd w:val="clear" w:color="auto" w:fill="auto"/>
            <w:noWrap/>
            <w:vAlign w:val="bottom"/>
            <w:hideMark/>
          </w:tcPr>
          <w:p w14:paraId="59187795" w14:textId="77777777" w:rsidR="00F41EA3" w:rsidRPr="00F41EA3" w:rsidRDefault="00F41EA3" w:rsidP="00F41EA3">
            <w:pPr>
              <w:jc w:val="right"/>
              <w:rPr>
                <w:rFonts w:cs="Arial"/>
                <w:color w:val="000000"/>
                <w:sz w:val="22"/>
                <w:szCs w:val="22"/>
                <w:lang w:eastAsia="en-GB"/>
              </w:rPr>
            </w:pPr>
            <w:r w:rsidRPr="00F41EA3">
              <w:rPr>
                <w:rFonts w:cs="Arial"/>
                <w:color w:val="000000"/>
                <w:sz w:val="22"/>
                <w:szCs w:val="24"/>
                <w:lang w:eastAsia="en-GB"/>
              </w:rPr>
              <w:t>6,191</w:t>
            </w:r>
          </w:p>
        </w:tc>
        <w:tc>
          <w:tcPr>
            <w:tcW w:w="1340" w:type="dxa"/>
            <w:tcBorders>
              <w:top w:val="nil"/>
              <w:left w:val="nil"/>
              <w:bottom w:val="single" w:sz="8" w:space="0" w:color="auto"/>
              <w:right w:val="single" w:sz="8" w:space="0" w:color="auto"/>
            </w:tcBorders>
            <w:shd w:val="clear" w:color="auto" w:fill="auto"/>
            <w:noWrap/>
            <w:vAlign w:val="bottom"/>
            <w:hideMark/>
          </w:tcPr>
          <w:p w14:paraId="1AB082AC" w14:textId="77777777" w:rsidR="00F41EA3" w:rsidRPr="00F41EA3" w:rsidRDefault="00F41EA3" w:rsidP="00F41EA3">
            <w:pPr>
              <w:jc w:val="right"/>
              <w:rPr>
                <w:rFonts w:cs="Arial"/>
                <w:color w:val="000000"/>
                <w:sz w:val="22"/>
                <w:szCs w:val="22"/>
                <w:lang w:eastAsia="en-GB"/>
              </w:rPr>
            </w:pPr>
            <w:r w:rsidRPr="00F41EA3">
              <w:rPr>
                <w:rFonts w:cs="Arial"/>
                <w:color w:val="000000"/>
                <w:sz w:val="22"/>
                <w:szCs w:val="24"/>
                <w:lang w:eastAsia="en-GB"/>
              </w:rPr>
              <w:t>4,693</w:t>
            </w:r>
          </w:p>
        </w:tc>
        <w:tc>
          <w:tcPr>
            <w:tcW w:w="2020" w:type="dxa"/>
            <w:tcBorders>
              <w:top w:val="nil"/>
              <w:left w:val="nil"/>
              <w:bottom w:val="single" w:sz="8" w:space="0" w:color="auto"/>
              <w:right w:val="single" w:sz="8" w:space="0" w:color="auto"/>
            </w:tcBorders>
            <w:shd w:val="clear" w:color="auto" w:fill="auto"/>
            <w:noWrap/>
            <w:vAlign w:val="bottom"/>
            <w:hideMark/>
          </w:tcPr>
          <w:p w14:paraId="0091B769" w14:textId="77777777" w:rsidR="00F41EA3" w:rsidRPr="00F41EA3" w:rsidRDefault="00F41EA3" w:rsidP="00F41EA3">
            <w:pPr>
              <w:jc w:val="right"/>
              <w:rPr>
                <w:rFonts w:cs="Arial"/>
                <w:color w:val="000000"/>
                <w:sz w:val="22"/>
                <w:szCs w:val="22"/>
                <w:lang w:eastAsia="en-GB"/>
              </w:rPr>
            </w:pPr>
            <w:r w:rsidRPr="00F41EA3">
              <w:rPr>
                <w:rFonts w:cs="Arial"/>
                <w:color w:val="000000"/>
                <w:sz w:val="22"/>
                <w:szCs w:val="24"/>
                <w:lang w:eastAsia="en-GB"/>
              </w:rPr>
              <w:t>1,498</w:t>
            </w:r>
          </w:p>
        </w:tc>
      </w:tr>
    </w:tbl>
    <w:p w14:paraId="0431779B" w14:textId="77777777" w:rsidR="00587B0D" w:rsidRDefault="00587B0D" w:rsidP="009E22B0">
      <w:pPr>
        <w:rPr>
          <w:rFonts w:cs="Arial"/>
          <w:szCs w:val="24"/>
        </w:rPr>
      </w:pPr>
    </w:p>
    <w:p w14:paraId="389C2840" w14:textId="41A47114" w:rsidR="00487842" w:rsidRDefault="00D32187" w:rsidP="008F21C7">
      <w:pPr>
        <w:ind w:firstLine="709"/>
        <w:rPr>
          <w:rFonts w:cs="Arial"/>
          <w:szCs w:val="24"/>
          <w:u w:val="single"/>
        </w:rPr>
      </w:pPr>
      <w:bookmarkStart w:id="3" w:name="_Toc372706221"/>
      <w:r w:rsidRPr="008F21C7">
        <w:rPr>
          <w:rFonts w:cs="Arial"/>
          <w:szCs w:val="24"/>
          <w:u w:val="single"/>
        </w:rPr>
        <w:t>Adult Services</w:t>
      </w:r>
    </w:p>
    <w:p w14:paraId="5C92D432" w14:textId="77777777" w:rsidR="00FA683C" w:rsidRPr="008F21C7" w:rsidRDefault="00FA683C" w:rsidP="008F21C7">
      <w:pPr>
        <w:ind w:firstLine="709"/>
        <w:rPr>
          <w:rFonts w:cs="Arial"/>
          <w:szCs w:val="24"/>
          <w:u w:val="single"/>
        </w:rPr>
      </w:pPr>
    </w:p>
    <w:p w14:paraId="4EF11AA8" w14:textId="5C012708" w:rsidR="00757FEA" w:rsidRPr="006A6FB1" w:rsidRDefault="00B63C98" w:rsidP="00F67A46">
      <w:pPr>
        <w:pStyle w:val="ListParagraph"/>
        <w:numPr>
          <w:ilvl w:val="1"/>
          <w:numId w:val="31"/>
        </w:numPr>
        <w:tabs>
          <w:tab w:val="left" w:pos="709"/>
        </w:tabs>
        <w:spacing w:after="120"/>
        <w:ind w:left="709" w:hanging="709"/>
        <w:jc w:val="both"/>
        <w:rPr>
          <w:rFonts w:cs="Arial"/>
          <w:szCs w:val="24"/>
        </w:rPr>
      </w:pPr>
      <w:r w:rsidRPr="006A6FB1">
        <w:rPr>
          <w:rFonts w:cs="Arial"/>
          <w:bCs/>
          <w:szCs w:val="24"/>
        </w:rPr>
        <w:t xml:space="preserve">At Quarter </w:t>
      </w:r>
      <w:r w:rsidR="0004310D">
        <w:rPr>
          <w:rFonts w:cs="Arial"/>
          <w:bCs/>
          <w:szCs w:val="24"/>
        </w:rPr>
        <w:t>3</w:t>
      </w:r>
      <w:r w:rsidR="007D1D99">
        <w:rPr>
          <w:rFonts w:cs="Arial"/>
          <w:bCs/>
          <w:szCs w:val="24"/>
        </w:rPr>
        <w:t>, the Adults Division</w:t>
      </w:r>
      <w:r w:rsidRPr="006A6FB1">
        <w:rPr>
          <w:rFonts w:cs="Arial"/>
          <w:bCs/>
          <w:szCs w:val="24"/>
        </w:rPr>
        <w:t xml:space="preserve"> is forecast to overspend by </w:t>
      </w:r>
      <w:r w:rsidRPr="002B7B42">
        <w:rPr>
          <w:rFonts w:cs="Arial"/>
          <w:b/>
          <w:bCs/>
          <w:szCs w:val="24"/>
        </w:rPr>
        <w:t>£</w:t>
      </w:r>
      <w:r w:rsidR="0004310D" w:rsidRPr="002B7B42">
        <w:rPr>
          <w:rFonts w:cs="Arial"/>
          <w:b/>
          <w:bCs/>
          <w:szCs w:val="24"/>
        </w:rPr>
        <w:t>2.8</w:t>
      </w:r>
      <w:r w:rsidR="007B7826" w:rsidRPr="002B7B42">
        <w:rPr>
          <w:rFonts w:cs="Arial"/>
          <w:b/>
          <w:bCs/>
          <w:szCs w:val="24"/>
        </w:rPr>
        <w:t>m</w:t>
      </w:r>
      <w:r w:rsidR="00423E1E" w:rsidRPr="006A6FB1">
        <w:rPr>
          <w:rFonts w:cs="Arial"/>
          <w:bCs/>
          <w:szCs w:val="24"/>
        </w:rPr>
        <w:t>.</w:t>
      </w:r>
      <w:r w:rsidR="00CF4A50" w:rsidRPr="006A6FB1">
        <w:rPr>
          <w:rFonts w:cs="Arial"/>
          <w:bCs/>
          <w:szCs w:val="24"/>
        </w:rPr>
        <w:t xml:space="preserve"> </w:t>
      </w:r>
      <w:r w:rsidR="0039654F">
        <w:rPr>
          <w:rFonts w:cs="Arial"/>
          <w:bCs/>
          <w:szCs w:val="24"/>
        </w:rPr>
        <w:t xml:space="preserve"> </w:t>
      </w:r>
      <w:r w:rsidR="00D32187" w:rsidRPr="006A6FB1">
        <w:rPr>
          <w:rFonts w:cs="Arial"/>
          <w:bCs/>
          <w:szCs w:val="24"/>
        </w:rPr>
        <w:t>This represents</w:t>
      </w:r>
      <w:r w:rsidR="0004310D">
        <w:rPr>
          <w:rFonts w:cs="Arial"/>
          <w:bCs/>
          <w:szCs w:val="24"/>
        </w:rPr>
        <w:t xml:space="preserve"> an increase </w:t>
      </w:r>
      <w:r w:rsidR="00364570">
        <w:rPr>
          <w:rFonts w:cs="Arial"/>
          <w:bCs/>
          <w:szCs w:val="24"/>
        </w:rPr>
        <w:t xml:space="preserve">in forecast </w:t>
      </w:r>
      <w:r w:rsidR="0004310D">
        <w:rPr>
          <w:rFonts w:cs="Arial"/>
          <w:bCs/>
          <w:szCs w:val="24"/>
        </w:rPr>
        <w:t xml:space="preserve">of </w:t>
      </w:r>
      <w:r w:rsidR="0004310D" w:rsidRPr="002B7B42">
        <w:rPr>
          <w:rFonts w:cs="Arial"/>
          <w:b/>
          <w:bCs/>
          <w:szCs w:val="24"/>
        </w:rPr>
        <w:t>£</w:t>
      </w:r>
      <w:r w:rsidR="00F41EA3">
        <w:rPr>
          <w:rFonts w:cs="Arial"/>
          <w:b/>
          <w:bCs/>
          <w:szCs w:val="24"/>
        </w:rPr>
        <w:t>0.</w:t>
      </w:r>
      <w:r w:rsidR="0004310D" w:rsidRPr="002B7B42">
        <w:rPr>
          <w:rFonts w:cs="Arial"/>
          <w:b/>
          <w:bCs/>
          <w:szCs w:val="24"/>
        </w:rPr>
        <w:t>402</w:t>
      </w:r>
      <w:r w:rsidR="00F41EA3">
        <w:rPr>
          <w:rFonts w:cs="Arial"/>
          <w:b/>
          <w:bCs/>
          <w:szCs w:val="24"/>
        </w:rPr>
        <w:t>m</w:t>
      </w:r>
      <w:r w:rsidR="0004310D">
        <w:rPr>
          <w:rFonts w:cs="Arial"/>
          <w:bCs/>
          <w:szCs w:val="24"/>
        </w:rPr>
        <w:t xml:space="preserve"> on the position at quarter 2</w:t>
      </w:r>
      <w:r w:rsidR="00CF4A50" w:rsidRPr="006A6FB1">
        <w:rPr>
          <w:rFonts w:cs="Arial"/>
          <w:bCs/>
          <w:szCs w:val="24"/>
        </w:rPr>
        <w:t>.</w:t>
      </w:r>
    </w:p>
    <w:p w14:paraId="015C925F" w14:textId="62A2C46A" w:rsidR="00CF4A50" w:rsidRPr="0004310D" w:rsidRDefault="0004310D" w:rsidP="001F1E67">
      <w:pPr>
        <w:pStyle w:val="ListParagraph"/>
        <w:numPr>
          <w:ilvl w:val="1"/>
          <w:numId w:val="31"/>
        </w:numPr>
        <w:spacing w:after="120"/>
        <w:ind w:left="709" w:hanging="709"/>
        <w:jc w:val="both"/>
        <w:rPr>
          <w:rFonts w:cs="Arial"/>
          <w:szCs w:val="24"/>
          <w:u w:val="single"/>
        </w:rPr>
      </w:pPr>
      <w:r>
        <w:rPr>
          <w:rFonts w:cs="Arial"/>
          <w:bCs/>
          <w:szCs w:val="24"/>
        </w:rPr>
        <w:t xml:space="preserve">The movement of </w:t>
      </w:r>
      <w:r w:rsidRPr="002B7B42">
        <w:rPr>
          <w:rFonts w:cs="Arial"/>
          <w:b/>
          <w:bCs/>
          <w:szCs w:val="24"/>
        </w:rPr>
        <w:t>£</w:t>
      </w:r>
      <w:r w:rsidR="00F41EA3">
        <w:rPr>
          <w:rFonts w:cs="Arial"/>
          <w:b/>
          <w:bCs/>
          <w:szCs w:val="24"/>
        </w:rPr>
        <w:t>0.</w:t>
      </w:r>
      <w:r w:rsidRPr="002B7B42">
        <w:rPr>
          <w:rFonts w:cs="Arial"/>
          <w:b/>
          <w:bCs/>
          <w:szCs w:val="24"/>
        </w:rPr>
        <w:t>402</w:t>
      </w:r>
      <w:r w:rsidR="00F41EA3">
        <w:rPr>
          <w:rFonts w:cs="Arial"/>
          <w:b/>
          <w:bCs/>
          <w:szCs w:val="24"/>
        </w:rPr>
        <w:t>m</w:t>
      </w:r>
      <w:r w:rsidR="00CF4A50" w:rsidRPr="006A6FB1">
        <w:rPr>
          <w:rFonts w:cs="Arial"/>
          <w:bCs/>
          <w:szCs w:val="24"/>
        </w:rPr>
        <w:t xml:space="preserve"> between Q</w:t>
      </w:r>
      <w:r>
        <w:rPr>
          <w:rFonts w:cs="Arial"/>
          <w:bCs/>
          <w:szCs w:val="24"/>
        </w:rPr>
        <w:t>uarter</w:t>
      </w:r>
      <w:r w:rsidR="002B7B42">
        <w:rPr>
          <w:rFonts w:cs="Arial"/>
          <w:bCs/>
          <w:szCs w:val="24"/>
        </w:rPr>
        <w:t xml:space="preserve"> 2</w:t>
      </w:r>
      <w:r w:rsidR="00CF4A50" w:rsidRPr="006A6FB1">
        <w:rPr>
          <w:rFonts w:cs="Arial"/>
          <w:bCs/>
          <w:szCs w:val="24"/>
        </w:rPr>
        <w:t xml:space="preserve"> and Q</w:t>
      </w:r>
      <w:r>
        <w:rPr>
          <w:rFonts w:cs="Arial"/>
          <w:bCs/>
          <w:szCs w:val="24"/>
        </w:rPr>
        <w:t xml:space="preserve">uarter </w:t>
      </w:r>
      <w:r w:rsidR="002B7B42">
        <w:rPr>
          <w:rFonts w:cs="Arial"/>
          <w:bCs/>
          <w:szCs w:val="24"/>
        </w:rPr>
        <w:t>3</w:t>
      </w:r>
      <w:r>
        <w:rPr>
          <w:rFonts w:cs="Arial"/>
          <w:bCs/>
          <w:szCs w:val="24"/>
        </w:rPr>
        <w:t xml:space="preserve"> </w:t>
      </w:r>
      <w:r w:rsidRPr="0004310D">
        <w:rPr>
          <w:rFonts w:cs="Arial"/>
          <w:bCs/>
          <w:szCs w:val="24"/>
        </w:rPr>
        <w:t>is largely due to increased pressures on purchasing budgets (including an increased shortfall in the MTFS saving</w:t>
      </w:r>
      <w:r w:rsidR="0086722E">
        <w:rPr>
          <w:rFonts w:cs="Arial"/>
          <w:bCs/>
          <w:szCs w:val="24"/>
        </w:rPr>
        <w:t xml:space="preserve"> tracker (Appendix 2)</w:t>
      </w:r>
      <w:r w:rsidRPr="0004310D">
        <w:rPr>
          <w:rFonts w:cs="Arial"/>
          <w:bCs/>
          <w:szCs w:val="24"/>
        </w:rPr>
        <w:t xml:space="preserve"> associated with </w:t>
      </w:r>
      <w:proofErr w:type="spellStart"/>
      <w:r w:rsidRPr="0004310D">
        <w:rPr>
          <w:rFonts w:cs="Arial"/>
          <w:bCs/>
          <w:szCs w:val="24"/>
        </w:rPr>
        <w:t>Sancroft</w:t>
      </w:r>
      <w:proofErr w:type="spellEnd"/>
      <w:r w:rsidRPr="0004310D">
        <w:rPr>
          <w:rFonts w:cs="Arial"/>
          <w:bCs/>
          <w:szCs w:val="24"/>
        </w:rPr>
        <w:t>) and a reduction in some of the staffing mitigations previously assumed</w:t>
      </w:r>
      <w:r>
        <w:rPr>
          <w:rFonts w:cs="Arial"/>
          <w:bCs/>
          <w:szCs w:val="24"/>
        </w:rPr>
        <w:t>.</w:t>
      </w:r>
      <w:r w:rsidR="00CF4A50" w:rsidRPr="006A6FB1">
        <w:rPr>
          <w:rFonts w:cs="Arial"/>
          <w:bCs/>
          <w:szCs w:val="24"/>
        </w:rPr>
        <w:t> </w:t>
      </w:r>
    </w:p>
    <w:p w14:paraId="0F72467E" w14:textId="52BED274" w:rsidR="0004310D" w:rsidRPr="006A6FB1" w:rsidRDefault="0004310D" w:rsidP="001F1E67">
      <w:pPr>
        <w:pStyle w:val="ListParagraph"/>
        <w:numPr>
          <w:ilvl w:val="1"/>
          <w:numId w:val="31"/>
        </w:numPr>
        <w:spacing w:after="120"/>
        <w:ind w:left="709" w:hanging="709"/>
        <w:jc w:val="both"/>
        <w:rPr>
          <w:rFonts w:cs="Arial"/>
          <w:szCs w:val="24"/>
          <w:u w:val="single"/>
        </w:rPr>
      </w:pPr>
      <w:r w:rsidRPr="0004310D">
        <w:rPr>
          <w:rFonts w:cs="Arial"/>
          <w:bCs/>
          <w:szCs w:val="24"/>
        </w:rPr>
        <w:t>In reporting this outturn it is assumed that increased spend finalisi</w:t>
      </w:r>
      <w:r w:rsidR="009D2E0D">
        <w:rPr>
          <w:rFonts w:cs="Arial"/>
          <w:bCs/>
          <w:szCs w:val="24"/>
        </w:rPr>
        <w:t>ng the Infinity contract</w:t>
      </w:r>
      <w:r w:rsidR="0056353C">
        <w:rPr>
          <w:rFonts w:cs="Arial"/>
          <w:bCs/>
          <w:szCs w:val="24"/>
        </w:rPr>
        <w:t xml:space="preserve"> of £0.095m</w:t>
      </w:r>
      <w:r w:rsidRPr="0004310D">
        <w:rPr>
          <w:rFonts w:cs="Arial"/>
          <w:bCs/>
          <w:szCs w:val="24"/>
        </w:rPr>
        <w:t xml:space="preserve"> will be funded </w:t>
      </w:r>
      <w:r w:rsidR="003E4312">
        <w:rPr>
          <w:rFonts w:cs="Arial"/>
          <w:bCs/>
          <w:szCs w:val="24"/>
        </w:rPr>
        <w:t>from t</w:t>
      </w:r>
      <w:r w:rsidR="00F13F91">
        <w:rPr>
          <w:rFonts w:cs="Arial"/>
          <w:bCs/>
          <w:szCs w:val="24"/>
        </w:rPr>
        <w:t>he Commercialisation Reserve</w:t>
      </w:r>
      <w:r>
        <w:rPr>
          <w:rFonts w:cs="Arial"/>
          <w:bCs/>
          <w:szCs w:val="24"/>
        </w:rPr>
        <w:t>.</w:t>
      </w:r>
    </w:p>
    <w:p w14:paraId="7CF7A4FA" w14:textId="2820336A" w:rsidR="00F433A0" w:rsidRPr="006A6FB1" w:rsidRDefault="006A6FB1" w:rsidP="008D06CF">
      <w:pPr>
        <w:pStyle w:val="ListParagraph"/>
        <w:numPr>
          <w:ilvl w:val="1"/>
          <w:numId w:val="31"/>
        </w:numPr>
        <w:spacing w:after="120"/>
        <w:ind w:left="709" w:hanging="709"/>
        <w:jc w:val="both"/>
        <w:rPr>
          <w:rFonts w:cs="Arial"/>
          <w:szCs w:val="24"/>
          <w:u w:val="single"/>
        </w:rPr>
      </w:pPr>
      <w:r w:rsidRPr="006A6FB1">
        <w:rPr>
          <w:rFonts w:cs="Arial"/>
          <w:bCs/>
          <w:szCs w:val="24"/>
        </w:rPr>
        <w:t xml:space="preserve">The overspend </w:t>
      </w:r>
      <w:r w:rsidRPr="002B7B42">
        <w:rPr>
          <w:rFonts w:cs="Arial"/>
          <w:b/>
          <w:bCs/>
          <w:szCs w:val="24"/>
        </w:rPr>
        <w:t>of £2.</w:t>
      </w:r>
      <w:r w:rsidR="0004310D" w:rsidRPr="002B7B42">
        <w:rPr>
          <w:rFonts w:cs="Arial"/>
          <w:b/>
          <w:bCs/>
          <w:szCs w:val="24"/>
        </w:rPr>
        <w:t>8</w:t>
      </w:r>
      <w:r w:rsidR="00F41EA3">
        <w:rPr>
          <w:rFonts w:cs="Arial"/>
          <w:b/>
          <w:bCs/>
          <w:szCs w:val="24"/>
        </w:rPr>
        <w:t>02</w:t>
      </w:r>
      <w:r w:rsidRPr="002B7B42">
        <w:rPr>
          <w:rFonts w:cs="Arial"/>
          <w:b/>
          <w:bCs/>
          <w:szCs w:val="24"/>
        </w:rPr>
        <w:t>m</w:t>
      </w:r>
      <w:r w:rsidRPr="006A6FB1">
        <w:rPr>
          <w:rFonts w:cs="Arial"/>
          <w:bCs/>
          <w:szCs w:val="24"/>
        </w:rPr>
        <w:t xml:space="preserve"> represents the following key variations</w:t>
      </w:r>
      <w:r>
        <w:rPr>
          <w:rFonts w:cs="Arial"/>
          <w:bCs/>
          <w:szCs w:val="24"/>
        </w:rPr>
        <w:t>:</w:t>
      </w:r>
      <w:r w:rsidRPr="006A6FB1">
        <w:rPr>
          <w:rFonts w:cs="Arial"/>
          <w:bCs/>
          <w:szCs w:val="24"/>
        </w:rPr>
        <w:t xml:space="preserve"> </w:t>
      </w:r>
    </w:p>
    <w:p w14:paraId="3C77DA9D" w14:textId="55385DCD" w:rsidR="0004310D" w:rsidRDefault="0004310D" w:rsidP="00095A1A">
      <w:pPr>
        <w:numPr>
          <w:ilvl w:val="0"/>
          <w:numId w:val="24"/>
        </w:numPr>
        <w:ind w:hanging="436"/>
        <w:jc w:val="both"/>
        <w:rPr>
          <w:bCs/>
        </w:rPr>
      </w:pPr>
      <w:r w:rsidRPr="0004310D">
        <w:rPr>
          <w:bCs/>
        </w:rPr>
        <w:t xml:space="preserve">A net pressure of </w:t>
      </w:r>
      <w:r w:rsidRPr="000C11F1">
        <w:rPr>
          <w:b/>
          <w:bCs/>
        </w:rPr>
        <w:t>£3.042m</w:t>
      </w:r>
      <w:r w:rsidRPr="0004310D">
        <w:rPr>
          <w:bCs/>
        </w:rPr>
        <w:t xml:space="preserve"> in relation to Adult Social Care (including </w:t>
      </w:r>
      <w:r w:rsidR="00D537F6" w:rsidRPr="0004310D">
        <w:rPr>
          <w:bCs/>
        </w:rPr>
        <w:t>on-going</w:t>
      </w:r>
      <w:r w:rsidRPr="0004310D">
        <w:rPr>
          <w:bCs/>
        </w:rPr>
        <w:t xml:space="preserve"> pressures in relation to </w:t>
      </w:r>
      <w:proofErr w:type="spellStart"/>
      <w:r w:rsidRPr="0004310D">
        <w:rPr>
          <w:bCs/>
        </w:rPr>
        <w:t>DoLs</w:t>
      </w:r>
      <w:proofErr w:type="spellEnd"/>
      <w:r w:rsidRPr="0004310D">
        <w:rPr>
          <w:bCs/>
        </w:rPr>
        <w:t xml:space="preserve"> and Mental Health</w:t>
      </w:r>
      <w:r w:rsidR="00C279E9">
        <w:rPr>
          <w:bCs/>
        </w:rPr>
        <w:t>)</w:t>
      </w:r>
      <w:r w:rsidRPr="0004310D">
        <w:rPr>
          <w:bCs/>
        </w:rPr>
        <w:t>.  Purchasing pressures continue to rise, however these are reduced by a reduction in the cost of re</w:t>
      </w:r>
      <w:r w:rsidR="00D537F6">
        <w:rPr>
          <w:bCs/>
        </w:rPr>
        <w:t>-</w:t>
      </w:r>
      <w:proofErr w:type="spellStart"/>
      <w:r w:rsidRPr="0004310D">
        <w:rPr>
          <w:bCs/>
        </w:rPr>
        <w:t>ablement</w:t>
      </w:r>
      <w:proofErr w:type="spellEnd"/>
      <w:r w:rsidRPr="0004310D">
        <w:rPr>
          <w:bCs/>
        </w:rPr>
        <w:t xml:space="preserve">.  Winter pressures and the need for prompt discharges from hospital could add further pressures between now and the end of the year.  Pressures in relation to placement costs for children with disability (within the all age disability pathway) of </w:t>
      </w:r>
      <w:r w:rsidRPr="00B0628A">
        <w:rPr>
          <w:bCs/>
        </w:rPr>
        <w:t>£75k</w:t>
      </w:r>
      <w:r w:rsidRPr="0004310D">
        <w:rPr>
          <w:bCs/>
        </w:rPr>
        <w:t xml:space="preserve"> are assumed to be fully mitigated by income received from Harrow CCG in relation to contributions towards health care</w:t>
      </w:r>
      <w:r>
        <w:rPr>
          <w:bCs/>
        </w:rPr>
        <w:t>.</w:t>
      </w:r>
    </w:p>
    <w:p w14:paraId="4988EA84" w14:textId="77777777" w:rsidR="00095A1A" w:rsidRDefault="00095A1A" w:rsidP="00095A1A">
      <w:pPr>
        <w:ind w:left="720"/>
      </w:pPr>
    </w:p>
    <w:p w14:paraId="2CB056E0" w14:textId="76BA2572" w:rsidR="00095A1A" w:rsidRDefault="00095A1A" w:rsidP="008210B6">
      <w:pPr>
        <w:numPr>
          <w:ilvl w:val="0"/>
          <w:numId w:val="24"/>
        </w:numPr>
        <w:ind w:hanging="436"/>
        <w:jc w:val="both"/>
      </w:pPr>
      <w:r>
        <w:lastRenderedPageBreak/>
        <w:t xml:space="preserve">A pressure of </w:t>
      </w:r>
      <w:r w:rsidRPr="000C11F1">
        <w:rPr>
          <w:b/>
        </w:rPr>
        <w:t>£</w:t>
      </w:r>
      <w:r w:rsidR="00F41EA3">
        <w:rPr>
          <w:b/>
        </w:rPr>
        <w:t>0.</w:t>
      </w:r>
      <w:r w:rsidRPr="000C11F1">
        <w:rPr>
          <w:b/>
        </w:rPr>
        <w:t>744</w:t>
      </w:r>
      <w:r w:rsidR="00F41EA3">
        <w:rPr>
          <w:b/>
        </w:rPr>
        <w:t>m</w:t>
      </w:r>
      <w:r>
        <w:t xml:space="preserve"> on in-house provided services.   This is largely due to pressures of £949k in relation to delays in achieving MTFS proposa</w:t>
      </w:r>
      <w:r w:rsidR="00936547">
        <w:t xml:space="preserve">ls (including Kenmore of £489k). </w:t>
      </w:r>
      <w:r>
        <w:t xml:space="preserve"> </w:t>
      </w:r>
      <w:r w:rsidR="00936547">
        <w:t>I</w:t>
      </w:r>
      <w:r w:rsidR="00936547" w:rsidRPr="00936547">
        <w:t xml:space="preserve">t has not been possible to deliver the MTFS savings for both Kenmore and </w:t>
      </w:r>
      <w:proofErr w:type="spellStart"/>
      <w:r w:rsidR="00936547" w:rsidRPr="00936547">
        <w:t>Sancroft</w:t>
      </w:r>
      <w:proofErr w:type="spellEnd"/>
      <w:r w:rsidR="00936547" w:rsidRPr="00936547">
        <w:t xml:space="preserve"> as originally anticipated.  These savings continued to be included in the base budget for 2017/18 and the expectation </w:t>
      </w:r>
      <w:r w:rsidR="00C448CF">
        <w:t xml:space="preserve">now </w:t>
      </w:r>
      <w:r w:rsidR="00936547" w:rsidRPr="00936547">
        <w:t>is that these will be delivered through commercialisation projects</w:t>
      </w:r>
      <w:r w:rsidR="00936547">
        <w:t xml:space="preserve">.  The above is </w:t>
      </w:r>
      <w:r>
        <w:t xml:space="preserve">offset by underspends over a range of budgets, including reductions in staffing costs. </w:t>
      </w:r>
    </w:p>
    <w:p w14:paraId="3718FE4E" w14:textId="77777777" w:rsidR="00095A1A" w:rsidRDefault="00095A1A" w:rsidP="00095A1A">
      <w:pPr>
        <w:pStyle w:val="ListParagraph"/>
      </w:pPr>
    </w:p>
    <w:p w14:paraId="04019716" w14:textId="326625B7" w:rsidR="00095A1A" w:rsidRDefault="00095A1A" w:rsidP="008210B6">
      <w:pPr>
        <w:numPr>
          <w:ilvl w:val="0"/>
          <w:numId w:val="24"/>
        </w:numPr>
        <w:jc w:val="both"/>
      </w:pPr>
      <w:r>
        <w:t>Safeguarding quality assurance net underspend</w:t>
      </w:r>
      <w:r w:rsidR="00D537F6">
        <w:t>s</w:t>
      </w:r>
      <w:r>
        <w:t xml:space="preserve"> of </w:t>
      </w:r>
      <w:r w:rsidR="000C11F1" w:rsidRPr="000C11F1">
        <w:rPr>
          <w:b/>
        </w:rPr>
        <w:t>(</w:t>
      </w:r>
      <w:r w:rsidRPr="000C11F1">
        <w:rPr>
          <w:b/>
        </w:rPr>
        <w:t>£34k</w:t>
      </w:r>
      <w:r w:rsidR="000C11F1" w:rsidRPr="000C11F1">
        <w:rPr>
          <w:b/>
        </w:rPr>
        <w:t>)</w:t>
      </w:r>
      <w:r>
        <w:t xml:space="preserve"> – this includes reductions in staffing costs.</w:t>
      </w:r>
    </w:p>
    <w:p w14:paraId="26F99087" w14:textId="77777777" w:rsidR="00095A1A" w:rsidRDefault="00095A1A" w:rsidP="008210B6">
      <w:pPr>
        <w:pStyle w:val="ListParagraph"/>
        <w:jc w:val="both"/>
      </w:pPr>
    </w:p>
    <w:p w14:paraId="54E0C190" w14:textId="6E735F81" w:rsidR="00095A1A" w:rsidRDefault="00095A1A" w:rsidP="008210B6">
      <w:pPr>
        <w:numPr>
          <w:ilvl w:val="0"/>
          <w:numId w:val="24"/>
        </w:numPr>
        <w:jc w:val="both"/>
      </w:pPr>
      <w:r w:rsidRPr="00095A1A">
        <w:t xml:space="preserve">Strategic Management underspend of </w:t>
      </w:r>
      <w:r w:rsidR="000C11F1" w:rsidRPr="000C11F1">
        <w:rPr>
          <w:b/>
        </w:rPr>
        <w:t>(</w:t>
      </w:r>
      <w:r w:rsidRPr="000C11F1">
        <w:rPr>
          <w:b/>
        </w:rPr>
        <w:t>£</w:t>
      </w:r>
      <w:r w:rsidR="00F41EA3">
        <w:rPr>
          <w:b/>
        </w:rPr>
        <w:t>0.</w:t>
      </w:r>
      <w:r w:rsidRPr="000C11F1">
        <w:rPr>
          <w:b/>
        </w:rPr>
        <w:t>950</w:t>
      </w:r>
      <w:r w:rsidR="00F41EA3">
        <w:rPr>
          <w:b/>
        </w:rPr>
        <w:t>m</w:t>
      </w:r>
      <w:r w:rsidR="000C11F1" w:rsidRPr="000C11F1">
        <w:rPr>
          <w:b/>
        </w:rPr>
        <w:t>)</w:t>
      </w:r>
      <w:r w:rsidRPr="00095A1A">
        <w:t xml:space="preserve"> – this relates to the impact of spending control reductions across the division now held centrally.  As a consequence of the need to mitigate the wider pressures, any contingencies have</w:t>
      </w:r>
      <w:r w:rsidR="00C279E9">
        <w:t xml:space="preserve"> now</w:t>
      </w:r>
      <w:r w:rsidRPr="00095A1A">
        <w:t xml:space="preserve"> been exhausted</w:t>
      </w:r>
      <w:r>
        <w:t>.</w:t>
      </w:r>
    </w:p>
    <w:p w14:paraId="54130155" w14:textId="3D37FFF0" w:rsidR="00FA683C" w:rsidRPr="00095A1A" w:rsidRDefault="00FA683C" w:rsidP="00095A1A">
      <w:pPr>
        <w:ind w:left="720"/>
        <w:jc w:val="both"/>
        <w:rPr>
          <w:bCs/>
        </w:rPr>
      </w:pPr>
    </w:p>
    <w:p w14:paraId="56241C97" w14:textId="71BEE184" w:rsidR="00B63C98" w:rsidRPr="008F21C7" w:rsidRDefault="00B63C98" w:rsidP="004D6EBB">
      <w:pPr>
        <w:pStyle w:val="ListParagraph"/>
        <w:spacing w:after="240"/>
        <w:ind w:left="405" w:firstLine="304"/>
        <w:jc w:val="both"/>
        <w:rPr>
          <w:rFonts w:cs="Arial"/>
          <w:szCs w:val="24"/>
          <w:u w:val="single"/>
        </w:rPr>
      </w:pPr>
      <w:r w:rsidRPr="008F21C7">
        <w:rPr>
          <w:rFonts w:cs="Arial"/>
          <w:szCs w:val="24"/>
          <w:u w:val="single"/>
        </w:rPr>
        <w:t>C</w:t>
      </w:r>
      <w:r w:rsidR="006A0E09" w:rsidRPr="008F21C7">
        <w:rPr>
          <w:rFonts w:cs="Arial"/>
          <w:szCs w:val="24"/>
          <w:u w:val="single"/>
        </w:rPr>
        <w:t>hildren</w:t>
      </w:r>
      <w:r w:rsidRPr="008F21C7">
        <w:rPr>
          <w:rFonts w:cs="Arial"/>
          <w:szCs w:val="24"/>
          <w:u w:val="single"/>
        </w:rPr>
        <w:t>’</w:t>
      </w:r>
      <w:r w:rsidR="006A0E09" w:rsidRPr="008F21C7">
        <w:rPr>
          <w:rFonts w:cs="Arial"/>
          <w:szCs w:val="24"/>
          <w:u w:val="single"/>
        </w:rPr>
        <w:t>s</w:t>
      </w:r>
      <w:r w:rsidRPr="008F21C7">
        <w:rPr>
          <w:rFonts w:cs="Arial"/>
          <w:szCs w:val="24"/>
          <w:u w:val="single"/>
        </w:rPr>
        <w:t xml:space="preserve"> S</w:t>
      </w:r>
      <w:r w:rsidR="006A0E09" w:rsidRPr="008F21C7">
        <w:rPr>
          <w:rFonts w:cs="Arial"/>
          <w:szCs w:val="24"/>
          <w:u w:val="single"/>
        </w:rPr>
        <w:t>ervices</w:t>
      </w:r>
    </w:p>
    <w:p w14:paraId="2219B9DF" w14:textId="45616CC4" w:rsidR="001305E1" w:rsidRDefault="000C11F1" w:rsidP="001F1E67">
      <w:pPr>
        <w:pStyle w:val="ListParagraph"/>
        <w:numPr>
          <w:ilvl w:val="1"/>
          <w:numId w:val="31"/>
        </w:numPr>
        <w:spacing w:after="120"/>
        <w:ind w:left="709" w:hanging="709"/>
        <w:jc w:val="both"/>
        <w:rPr>
          <w:rFonts w:cs="Arial"/>
          <w:szCs w:val="24"/>
        </w:rPr>
      </w:pPr>
      <w:r>
        <w:rPr>
          <w:rFonts w:cs="Arial"/>
          <w:szCs w:val="24"/>
        </w:rPr>
        <w:t>As at Q3</w:t>
      </w:r>
      <w:r w:rsidR="001305E1" w:rsidRPr="001305E1">
        <w:rPr>
          <w:rFonts w:cs="Arial"/>
          <w:szCs w:val="24"/>
        </w:rPr>
        <w:t xml:space="preserve"> the headline pressures total</w:t>
      </w:r>
      <w:r w:rsidR="002A03E0">
        <w:rPr>
          <w:rFonts w:cs="Arial"/>
          <w:szCs w:val="24"/>
        </w:rPr>
        <w:t>s</w:t>
      </w:r>
      <w:r>
        <w:rPr>
          <w:rFonts w:cs="Arial"/>
          <w:szCs w:val="24"/>
        </w:rPr>
        <w:t xml:space="preserve"> £6.190</w:t>
      </w:r>
      <w:r w:rsidR="001305E1" w:rsidRPr="001305E1">
        <w:rPr>
          <w:rFonts w:cs="Arial"/>
          <w:szCs w:val="24"/>
        </w:rPr>
        <w:t>m. This reduces to a net report</w:t>
      </w:r>
      <w:r w:rsidR="002A03E0">
        <w:rPr>
          <w:rFonts w:cs="Arial"/>
          <w:szCs w:val="24"/>
        </w:rPr>
        <w:t>ed overspend for the division</w:t>
      </w:r>
      <w:r>
        <w:rPr>
          <w:rFonts w:cs="Arial"/>
          <w:szCs w:val="24"/>
        </w:rPr>
        <w:t xml:space="preserve"> of £4.300</w:t>
      </w:r>
      <w:r w:rsidR="001305E1" w:rsidRPr="001305E1">
        <w:rPr>
          <w:rFonts w:cs="Arial"/>
          <w:szCs w:val="24"/>
        </w:rPr>
        <w:t xml:space="preserve">m after the use of one off management </w:t>
      </w:r>
      <w:r w:rsidR="002A03E0">
        <w:rPr>
          <w:rFonts w:cs="Arial"/>
          <w:szCs w:val="24"/>
        </w:rPr>
        <w:t xml:space="preserve">and reserve </w:t>
      </w:r>
      <w:r>
        <w:rPr>
          <w:rFonts w:cs="Arial"/>
          <w:szCs w:val="24"/>
        </w:rPr>
        <w:t xml:space="preserve">actions totalling </w:t>
      </w:r>
      <w:r w:rsidR="00364570">
        <w:rPr>
          <w:rFonts w:cs="Arial"/>
          <w:szCs w:val="24"/>
        </w:rPr>
        <w:t>(</w:t>
      </w:r>
      <w:r>
        <w:rPr>
          <w:rFonts w:cs="Arial"/>
          <w:szCs w:val="24"/>
        </w:rPr>
        <w:t>£1.890</w:t>
      </w:r>
      <w:r w:rsidR="001305E1" w:rsidRPr="001305E1">
        <w:rPr>
          <w:rFonts w:cs="Arial"/>
          <w:szCs w:val="24"/>
        </w:rPr>
        <w:t>m</w:t>
      </w:r>
      <w:r w:rsidR="00364570">
        <w:rPr>
          <w:rFonts w:cs="Arial"/>
          <w:szCs w:val="24"/>
        </w:rPr>
        <w:t>)</w:t>
      </w:r>
      <w:r w:rsidR="001305E1" w:rsidRPr="001305E1">
        <w:rPr>
          <w:rFonts w:cs="Arial"/>
          <w:szCs w:val="24"/>
        </w:rPr>
        <w:t>.</w:t>
      </w:r>
    </w:p>
    <w:p w14:paraId="571B9E3D" w14:textId="4C3DA38E" w:rsidR="00D32187" w:rsidRDefault="00D32187" w:rsidP="00F650D7">
      <w:pPr>
        <w:pStyle w:val="ListParagraph"/>
        <w:numPr>
          <w:ilvl w:val="1"/>
          <w:numId w:val="31"/>
        </w:numPr>
        <w:ind w:left="709" w:hanging="709"/>
        <w:jc w:val="both"/>
        <w:rPr>
          <w:rFonts w:cs="Arial"/>
          <w:szCs w:val="24"/>
        </w:rPr>
      </w:pPr>
      <w:r w:rsidRPr="008D06CF">
        <w:rPr>
          <w:rFonts w:cs="Arial"/>
          <w:szCs w:val="24"/>
        </w:rPr>
        <w:t>The ne</w:t>
      </w:r>
      <w:r w:rsidR="000C11F1">
        <w:rPr>
          <w:rFonts w:cs="Arial"/>
          <w:szCs w:val="24"/>
        </w:rPr>
        <w:t>t increase in pressure of £1.479</w:t>
      </w:r>
      <w:r w:rsidRPr="008D06CF">
        <w:rPr>
          <w:rFonts w:cs="Arial"/>
          <w:szCs w:val="24"/>
        </w:rPr>
        <w:t xml:space="preserve">m </w:t>
      </w:r>
      <w:r w:rsidR="000C11F1">
        <w:rPr>
          <w:rFonts w:cs="Arial"/>
          <w:szCs w:val="24"/>
        </w:rPr>
        <w:t>from the position reported at Q2</w:t>
      </w:r>
      <w:r w:rsidR="009B78EE">
        <w:rPr>
          <w:rFonts w:cs="Arial"/>
          <w:szCs w:val="24"/>
        </w:rPr>
        <w:t xml:space="preserve"> is as a result of the following:</w:t>
      </w:r>
    </w:p>
    <w:p w14:paraId="1F6829D5" w14:textId="77777777" w:rsidR="008D06CF" w:rsidRPr="008D06CF" w:rsidRDefault="008D06CF" w:rsidP="008D06CF">
      <w:pPr>
        <w:pStyle w:val="ListParagraph"/>
        <w:ind w:left="709"/>
        <w:jc w:val="both"/>
        <w:rPr>
          <w:rFonts w:cs="Arial"/>
          <w:szCs w:val="24"/>
        </w:rPr>
      </w:pPr>
    </w:p>
    <w:p w14:paraId="57E368AF" w14:textId="69713FF5" w:rsidR="000C11F1" w:rsidRDefault="000C11F1" w:rsidP="001F1E67">
      <w:pPr>
        <w:pStyle w:val="ListParagraph"/>
        <w:numPr>
          <w:ilvl w:val="1"/>
          <w:numId w:val="31"/>
        </w:numPr>
        <w:spacing w:after="120"/>
        <w:ind w:left="709" w:hanging="709"/>
        <w:jc w:val="both"/>
        <w:rPr>
          <w:rFonts w:cs="Arial"/>
          <w:b/>
          <w:szCs w:val="24"/>
        </w:rPr>
      </w:pPr>
      <w:r w:rsidRPr="000C11F1">
        <w:rPr>
          <w:rFonts w:cs="Arial"/>
          <w:b/>
          <w:szCs w:val="24"/>
        </w:rPr>
        <w:t>Children’</w:t>
      </w:r>
      <w:r w:rsidR="00AC41DD">
        <w:rPr>
          <w:rFonts w:cs="Arial"/>
          <w:b/>
          <w:szCs w:val="24"/>
        </w:rPr>
        <w:t xml:space="preserve">s Placements Increased Pressure </w:t>
      </w:r>
      <w:r w:rsidRPr="000C11F1">
        <w:rPr>
          <w:rFonts w:cs="Arial"/>
          <w:b/>
          <w:szCs w:val="24"/>
        </w:rPr>
        <w:t>£1.353m</w:t>
      </w:r>
      <w:r>
        <w:rPr>
          <w:rFonts w:cs="Arial"/>
          <w:szCs w:val="24"/>
        </w:rPr>
        <w:t xml:space="preserve"> - </w:t>
      </w:r>
      <w:r w:rsidRPr="000C11F1">
        <w:rPr>
          <w:rFonts w:cs="Arial"/>
          <w:szCs w:val="24"/>
        </w:rPr>
        <w:t>The increased pressure results mainly from 2 new residential placements, 3 residential placements being extended to the end of the year, 1</w:t>
      </w:r>
      <w:r w:rsidR="008210B6">
        <w:rPr>
          <w:rFonts w:cs="Arial"/>
          <w:szCs w:val="24"/>
        </w:rPr>
        <w:t> </w:t>
      </w:r>
      <w:r w:rsidRPr="000C11F1">
        <w:rPr>
          <w:rFonts w:cs="Arial"/>
          <w:szCs w:val="24"/>
        </w:rPr>
        <w:t>placement previously in independent fostering now back in a residential placement, 13 new in house fostering placements, 7 new semi-independent placements, 1 new leaving care placement and 1</w:t>
      </w:r>
      <w:r w:rsidR="008210B6">
        <w:rPr>
          <w:rFonts w:cs="Arial"/>
          <w:szCs w:val="24"/>
        </w:rPr>
        <w:t> </w:t>
      </w:r>
      <w:r w:rsidRPr="000C11F1">
        <w:rPr>
          <w:rFonts w:cs="Arial"/>
          <w:szCs w:val="24"/>
        </w:rPr>
        <w:t xml:space="preserve">new mother and baby placement. Also more young people have been made subject to remand or custody arrangements by the courts which </w:t>
      </w:r>
      <w:r w:rsidR="00F41EA3" w:rsidRPr="000C11F1">
        <w:rPr>
          <w:rFonts w:cs="Arial"/>
          <w:szCs w:val="24"/>
        </w:rPr>
        <w:t>incur</w:t>
      </w:r>
      <w:r w:rsidRPr="000C11F1">
        <w:rPr>
          <w:rFonts w:cs="Arial"/>
          <w:szCs w:val="24"/>
        </w:rPr>
        <w:t xml:space="preserve"> placement costs for the authority</w:t>
      </w:r>
      <w:r>
        <w:rPr>
          <w:rFonts w:cs="Arial"/>
          <w:b/>
          <w:szCs w:val="24"/>
        </w:rPr>
        <w:t>.</w:t>
      </w:r>
    </w:p>
    <w:p w14:paraId="420973CA" w14:textId="1CDB761F" w:rsidR="000C11F1" w:rsidRDefault="00AC41DD" w:rsidP="001F1E67">
      <w:pPr>
        <w:pStyle w:val="ListParagraph"/>
        <w:numPr>
          <w:ilvl w:val="1"/>
          <w:numId w:val="31"/>
        </w:numPr>
        <w:spacing w:after="120"/>
        <w:ind w:left="709" w:hanging="709"/>
        <w:jc w:val="both"/>
        <w:rPr>
          <w:rFonts w:cs="Arial"/>
          <w:szCs w:val="24"/>
        </w:rPr>
      </w:pPr>
      <w:r>
        <w:rPr>
          <w:rFonts w:cs="Arial"/>
          <w:b/>
          <w:szCs w:val="24"/>
        </w:rPr>
        <w:t>Children and Young People’s Staffing Pressure £153</w:t>
      </w:r>
      <w:r w:rsidR="00D32187" w:rsidRPr="00D32187">
        <w:rPr>
          <w:rFonts w:cs="Arial"/>
          <w:b/>
          <w:szCs w:val="24"/>
        </w:rPr>
        <w:t xml:space="preserve">k – </w:t>
      </w:r>
      <w:r w:rsidR="000C11F1" w:rsidRPr="000C11F1">
        <w:rPr>
          <w:rFonts w:cs="Arial"/>
          <w:szCs w:val="24"/>
        </w:rPr>
        <w:t>The increased pressure mainly results from additional vacancies in the Children’s Access Service being covered by agency staff which are more expensive than permanent employees, continued agency sickness cover in Quality Assurance and increased supervised contact support in the Placements Service.</w:t>
      </w:r>
    </w:p>
    <w:p w14:paraId="1724C89D" w14:textId="3D4CB2D0" w:rsidR="00AC41DD" w:rsidRPr="00AC41DD" w:rsidRDefault="00AC41DD" w:rsidP="001F1E67">
      <w:pPr>
        <w:pStyle w:val="ListParagraph"/>
        <w:numPr>
          <w:ilvl w:val="1"/>
          <w:numId w:val="31"/>
        </w:numPr>
        <w:spacing w:after="120"/>
        <w:ind w:left="709" w:hanging="709"/>
        <w:jc w:val="both"/>
        <w:rPr>
          <w:rFonts w:cs="Arial"/>
          <w:szCs w:val="24"/>
        </w:rPr>
      </w:pPr>
      <w:r>
        <w:rPr>
          <w:rFonts w:cs="Arial"/>
          <w:szCs w:val="24"/>
        </w:rPr>
        <w:t xml:space="preserve">Various reductions across the directorate </w:t>
      </w:r>
      <w:r w:rsidRPr="00AC41DD">
        <w:rPr>
          <w:rFonts w:cs="Arial"/>
          <w:b/>
          <w:szCs w:val="24"/>
        </w:rPr>
        <w:t>(£27k</w:t>
      </w:r>
      <w:r>
        <w:rPr>
          <w:rFonts w:cs="Arial"/>
          <w:b/>
          <w:szCs w:val="24"/>
        </w:rPr>
        <w:t>).</w:t>
      </w:r>
    </w:p>
    <w:p w14:paraId="4274B326" w14:textId="7E921D09" w:rsidR="00AC41DD" w:rsidRPr="00D74F2C" w:rsidRDefault="00AC41DD" w:rsidP="001F1E67">
      <w:pPr>
        <w:pStyle w:val="ListParagraph"/>
        <w:numPr>
          <w:ilvl w:val="1"/>
          <w:numId w:val="31"/>
        </w:numPr>
        <w:spacing w:after="120"/>
        <w:ind w:left="709" w:hanging="709"/>
        <w:jc w:val="both"/>
        <w:rPr>
          <w:rFonts w:cs="Arial"/>
          <w:szCs w:val="24"/>
        </w:rPr>
      </w:pPr>
      <w:r w:rsidRPr="00AC41DD">
        <w:rPr>
          <w:rFonts w:cs="Arial"/>
          <w:bCs/>
          <w:szCs w:val="24"/>
        </w:rPr>
        <w:t>The overspend of</w:t>
      </w:r>
      <w:r w:rsidRPr="00AC41DD">
        <w:rPr>
          <w:rFonts w:cs="Arial"/>
          <w:b/>
          <w:bCs/>
          <w:szCs w:val="24"/>
        </w:rPr>
        <w:t xml:space="preserve"> £</w:t>
      </w:r>
      <w:r w:rsidR="00D74F2C">
        <w:rPr>
          <w:rFonts w:cs="Arial"/>
          <w:b/>
          <w:bCs/>
          <w:szCs w:val="24"/>
        </w:rPr>
        <w:t>4</w:t>
      </w:r>
      <w:r w:rsidRPr="00AC41DD">
        <w:rPr>
          <w:rFonts w:cs="Arial"/>
          <w:b/>
          <w:bCs/>
          <w:szCs w:val="24"/>
        </w:rPr>
        <w:t>.</w:t>
      </w:r>
      <w:r w:rsidR="00D74F2C">
        <w:rPr>
          <w:rFonts w:cs="Arial"/>
          <w:b/>
          <w:bCs/>
          <w:szCs w:val="24"/>
        </w:rPr>
        <w:t>3</w:t>
      </w:r>
      <w:r w:rsidRPr="00AC41DD">
        <w:rPr>
          <w:rFonts w:cs="Arial"/>
          <w:b/>
          <w:bCs/>
          <w:szCs w:val="24"/>
        </w:rPr>
        <w:t>m</w:t>
      </w:r>
      <w:r w:rsidRPr="00AC41DD">
        <w:rPr>
          <w:rFonts w:cs="Arial"/>
          <w:bCs/>
          <w:szCs w:val="24"/>
        </w:rPr>
        <w:t xml:space="preserve"> represents the following key variations</w:t>
      </w:r>
      <w:r w:rsidR="00D74F2C">
        <w:rPr>
          <w:rFonts w:cs="Arial"/>
          <w:bCs/>
          <w:szCs w:val="24"/>
        </w:rPr>
        <w:t>:</w:t>
      </w:r>
    </w:p>
    <w:p w14:paraId="286D2787" w14:textId="59660F84" w:rsidR="00D74F2C" w:rsidRDefault="00D74F2C" w:rsidP="001F1E67">
      <w:pPr>
        <w:pStyle w:val="ListParagraph"/>
        <w:numPr>
          <w:ilvl w:val="1"/>
          <w:numId w:val="31"/>
        </w:numPr>
        <w:spacing w:after="120"/>
        <w:ind w:left="709" w:hanging="709"/>
        <w:jc w:val="both"/>
        <w:rPr>
          <w:rFonts w:cs="Arial"/>
          <w:szCs w:val="24"/>
        </w:rPr>
      </w:pPr>
      <w:r w:rsidRPr="00D74F2C">
        <w:rPr>
          <w:rFonts w:cs="Arial"/>
          <w:b/>
          <w:szCs w:val="24"/>
        </w:rPr>
        <w:t xml:space="preserve">Special Needs Transport £1.178m </w:t>
      </w:r>
      <w:r w:rsidRPr="00CC5DF2">
        <w:rPr>
          <w:rFonts w:cs="Arial"/>
          <w:szCs w:val="24"/>
        </w:rPr>
        <w:t xml:space="preserve">overspend – </w:t>
      </w:r>
      <w:r w:rsidR="00CC5DF2" w:rsidRPr="005B78F9">
        <w:rPr>
          <w:rFonts w:cs="Arial"/>
          <w:szCs w:val="24"/>
        </w:rPr>
        <w:t>Special Needs Transport underwent a significant review in 2014/15 with a view to achieving a £0.570m savings target. It was only possible to meet approximately half of this savings target due in main to contract prices being higher than anticipated. In ad</w:t>
      </w:r>
      <w:r w:rsidR="00C279E9">
        <w:rPr>
          <w:rFonts w:cs="Arial"/>
          <w:szCs w:val="24"/>
        </w:rPr>
        <w:t>dition savings of £257k in 2016/</w:t>
      </w:r>
      <w:r w:rsidR="00CC5DF2" w:rsidRPr="005B78F9">
        <w:rPr>
          <w:rFonts w:cs="Arial"/>
          <w:szCs w:val="24"/>
        </w:rPr>
        <w:t xml:space="preserve">17 have also not been achieved which were largely due to a review of eligibility and a number of other actions which have been undertaken. However, it is not yet apparent that any significant </w:t>
      </w:r>
      <w:r w:rsidR="00CC5DF2" w:rsidRPr="005B78F9">
        <w:rPr>
          <w:rFonts w:cs="Arial"/>
          <w:szCs w:val="24"/>
        </w:rPr>
        <w:lastRenderedPageBreak/>
        <w:t>savings can be achieved to drive down the existing pressure. These contribute to part of the overspends. There has also been an increase in demand, particularly for transport from home to school as the SEND reforms that extends special educational provision to age 25 years has led to an increased number of young adults with complex needs continuing in education.</w:t>
      </w:r>
    </w:p>
    <w:p w14:paraId="40D3D9F0" w14:textId="3B6E27AD" w:rsidR="00D74F2C" w:rsidRDefault="00642FE5" w:rsidP="001F1E67">
      <w:pPr>
        <w:pStyle w:val="ListParagraph"/>
        <w:numPr>
          <w:ilvl w:val="1"/>
          <w:numId w:val="31"/>
        </w:numPr>
        <w:spacing w:after="120"/>
        <w:ind w:left="709" w:hanging="709"/>
        <w:jc w:val="both"/>
        <w:rPr>
          <w:rFonts w:cs="Arial"/>
          <w:szCs w:val="24"/>
        </w:rPr>
      </w:pPr>
      <w:r w:rsidRPr="00642FE5">
        <w:rPr>
          <w:rFonts w:cs="Arial"/>
          <w:b/>
          <w:szCs w:val="24"/>
        </w:rPr>
        <w:t xml:space="preserve">Children’s Placements £2.854m overspend – </w:t>
      </w:r>
      <w:r w:rsidRPr="00642FE5">
        <w:rPr>
          <w:rFonts w:cs="Arial"/>
          <w:szCs w:val="24"/>
        </w:rPr>
        <w:t>The overspend mainly results from an increase in the number of children in high cost residential placements. A number of these placements have been needed in response to significant risks relating to child sexual exploitation and gang involvement</w:t>
      </w:r>
      <w:r>
        <w:rPr>
          <w:rFonts w:cs="Arial"/>
          <w:szCs w:val="24"/>
        </w:rPr>
        <w:t>.</w:t>
      </w:r>
    </w:p>
    <w:p w14:paraId="56CB6437" w14:textId="719F7D44" w:rsidR="00D74F2C" w:rsidRDefault="00D74F2C" w:rsidP="001F1E67">
      <w:pPr>
        <w:pStyle w:val="ListParagraph"/>
        <w:numPr>
          <w:ilvl w:val="1"/>
          <w:numId w:val="31"/>
        </w:numPr>
        <w:spacing w:after="120"/>
        <w:ind w:left="709" w:hanging="709"/>
        <w:jc w:val="both"/>
        <w:rPr>
          <w:rFonts w:cs="Arial"/>
          <w:szCs w:val="24"/>
        </w:rPr>
      </w:pPr>
      <w:r w:rsidRPr="00D74F2C">
        <w:rPr>
          <w:rFonts w:cs="Arial"/>
          <w:b/>
          <w:szCs w:val="24"/>
        </w:rPr>
        <w:t xml:space="preserve">Children and Young People’s </w:t>
      </w:r>
      <w:r w:rsidR="00D537F6" w:rsidRPr="00D74F2C">
        <w:rPr>
          <w:rFonts w:cs="Arial"/>
          <w:b/>
          <w:szCs w:val="24"/>
        </w:rPr>
        <w:t>staffing</w:t>
      </w:r>
      <w:r w:rsidRPr="00D74F2C">
        <w:rPr>
          <w:rFonts w:cs="Arial"/>
          <w:b/>
          <w:szCs w:val="24"/>
        </w:rPr>
        <w:t xml:space="preserve"> £1.467m overspend – </w:t>
      </w:r>
      <w:r w:rsidRPr="00D74F2C">
        <w:rPr>
          <w:rFonts w:cs="Arial"/>
          <w:szCs w:val="24"/>
        </w:rPr>
        <w:t xml:space="preserve">The volume of referrals from the police to the Multi Agency Safeguarding Hub have gone up by 37%, many of these referrals are about domestic abuse and risk. In addition the </w:t>
      </w:r>
      <w:r w:rsidR="00235588" w:rsidRPr="00D74F2C">
        <w:rPr>
          <w:rFonts w:cs="Arial"/>
          <w:szCs w:val="24"/>
        </w:rPr>
        <w:t>volume of referrals linked to homelessness has</w:t>
      </w:r>
      <w:r w:rsidRPr="00D74F2C">
        <w:rPr>
          <w:rFonts w:cs="Arial"/>
          <w:szCs w:val="24"/>
        </w:rPr>
        <w:t xml:space="preserve"> gone up significantly and means that children are particularly vulnerable in temporary housing. The number of childre</w:t>
      </w:r>
      <w:r w:rsidR="009B78EE">
        <w:rPr>
          <w:rFonts w:cs="Arial"/>
          <w:szCs w:val="24"/>
        </w:rPr>
        <w:t>n on child protection plans has</w:t>
      </w:r>
      <w:r w:rsidRPr="00D74F2C">
        <w:rPr>
          <w:rFonts w:cs="Arial"/>
          <w:szCs w:val="24"/>
        </w:rPr>
        <w:t xml:space="preserve"> gone up by 20% and this includes all forms of abuse especially neglect. A growth bid for additional social work posts in 2017/18 has been submitted</w:t>
      </w:r>
      <w:r>
        <w:rPr>
          <w:rFonts w:cs="Arial"/>
          <w:szCs w:val="24"/>
        </w:rPr>
        <w:t>.</w:t>
      </w:r>
    </w:p>
    <w:p w14:paraId="041B4F56" w14:textId="4137D44C" w:rsidR="00D74F2C" w:rsidRDefault="00D74F2C" w:rsidP="001F1E67">
      <w:pPr>
        <w:pStyle w:val="ListParagraph"/>
        <w:numPr>
          <w:ilvl w:val="1"/>
          <w:numId w:val="31"/>
        </w:numPr>
        <w:spacing w:after="120"/>
        <w:ind w:left="709" w:hanging="709"/>
        <w:jc w:val="both"/>
        <w:rPr>
          <w:rFonts w:cs="Arial"/>
          <w:szCs w:val="24"/>
        </w:rPr>
      </w:pPr>
      <w:r w:rsidRPr="00D74F2C">
        <w:rPr>
          <w:rFonts w:cs="Arial"/>
          <w:b/>
          <w:szCs w:val="24"/>
        </w:rPr>
        <w:t xml:space="preserve">Families with No Recourse to Public Funds £0.638m overspend – </w:t>
      </w:r>
      <w:r w:rsidRPr="00D74F2C">
        <w:rPr>
          <w:rFonts w:cs="Arial"/>
          <w:szCs w:val="24"/>
        </w:rPr>
        <w:t>These families are being supported by the council because they have no recourse to public funds. 1.5 FTE bespoke workers have been recruited to focus specifically on these families to help reduce costs and mitigate the financial pressures on this budget. These workers are currently supporting a total of 12 cases. 13 cases have been successfully closed which has mitigated what would have been an even greater pressure</w:t>
      </w:r>
      <w:r>
        <w:rPr>
          <w:rFonts w:cs="Arial"/>
          <w:szCs w:val="24"/>
        </w:rPr>
        <w:t>.</w:t>
      </w:r>
    </w:p>
    <w:p w14:paraId="40741AE0" w14:textId="52286B30" w:rsidR="00D74F2C" w:rsidRDefault="00D74F2C" w:rsidP="001F1E67">
      <w:pPr>
        <w:pStyle w:val="ListParagraph"/>
        <w:numPr>
          <w:ilvl w:val="1"/>
          <w:numId w:val="31"/>
        </w:numPr>
        <w:spacing w:after="120"/>
        <w:ind w:left="709" w:hanging="709"/>
        <w:jc w:val="both"/>
        <w:rPr>
          <w:rFonts w:cs="Arial"/>
          <w:szCs w:val="24"/>
        </w:rPr>
      </w:pPr>
      <w:r w:rsidRPr="00D74F2C">
        <w:rPr>
          <w:rFonts w:cs="Arial"/>
          <w:b/>
          <w:szCs w:val="24"/>
        </w:rPr>
        <w:t>Business Support Staffing in Children’s Services £327k overspend</w:t>
      </w:r>
      <w:r w:rsidR="00235588">
        <w:rPr>
          <w:rFonts w:cs="Arial"/>
          <w:b/>
          <w:szCs w:val="24"/>
        </w:rPr>
        <w:t>s</w:t>
      </w:r>
      <w:r w:rsidRPr="00D74F2C">
        <w:rPr>
          <w:rFonts w:cs="Arial"/>
          <w:b/>
          <w:szCs w:val="24"/>
        </w:rPr>
        <w:t xml:space="preserve"> – </w:t>
      </w:r>
      <w:r w:rsidRPr="00D74F2C">
        <w:rPr>
          <w:rFonts w:cs="Arial"/>
          <w:szCs w:val="24"/>
        </w:rPr>
        <w:t xml:space="preserve">The model of practice within Children’s Services is to integrate business support throughout the children’s pathway. These are specialist posts supporting social work pods, and the specialist panels e.g. Adoption Panel which </w:t>
      </w:r>
      <w:r w:rsidR="00235588" w:rsidRPr="00D74F2C">
        <w:rPr>
          <w:rFonts w:cs="Arial"/>
          <w:szCs w:val="24"/>
        </w:rPr>
        <w:t>supports</w:t>
      </w:r>
      <w:r w:rsidRPr="00D74F2C">
        <w:rPr>
          <w:rFonts w:cs="Arial"/>
          <w:szCs w:val="24"/>
        </w:rPr>
        <w:t xml:space="preserve"> the multiple statutory functions throughout Children’s Services. The rise in demand in Children’s Services which has resulted in additional social workers as set out above has also increased the requirement for additional business support staff. A growth bid for additional Business Support staff to support the growth bid for social work staff has also been submitted</w:t>
      </w:r>
      <w:r>
        <w:rPr>
          <w:rFonts w:cs="Arial"/>
          <w:szCs w:val="24"/>
        </w:rPr>
        <w:t>.</w:t>
      </w:r>
    </w:p>
    <w:p w14:paraId="78F2003C" w14:textId="3BCC9219" w:rsidR="00D74F2C" w:rsidRPr="00AC41DD" w:rsidRDefault="00D74F2C" w:rsidP="001F1E67">
      <w:pPr>
        <w:pStyle w:val="ListParagraph"/>
        <w:numPr>
          <w:ilvl w:val="1"/>
          <w:numId w:val="31"/>
        </w:numPr>
        <w:spacing w:after="120"/>
        <w:ind w:left="709" w:hanging="709"/>
        <w:jc w:val="both"/>
        <w:rPr>
          <w:rFonts w:cs="Arial"/>
          <w:szCs w:val="24"/>
        </w:rPr>
      </w:pPr>
      <w:r w:rsidRPr="00D74F2C">
        <w:rPr>
          <w:rFonts w:cs="Arial"/>
          <w:szCs w:val="24"/>
        </w:rPr>
        <w:t xml:space="preserve">These pressures are partially offset by use of one off children’s earmarked reserves and one off management actions totalling </w:t>
      </w:r>
      <w:r w:rsidRPr="00D74F2C">
        <w:rPr>
          <w:rFonts w:cs="Arial"/>
          <w:b/>
          <w:szCs w:val="24"/>
        </w:rPr>
        <w:t>(£1.890m</w:t>
      </w:r>
      <w:r>
        <w:rPr>
          <w:rFonts w:cs="Arial"/>
          <w:szCs w:val="24"/>
        </w:rPr>
        <w:t>)</w:t>
      </w:r>
      <w:r w:rsidRPr="00D74F2C">
        <w:rPr>
          <w:rFonts w:cs="Arial"/>
          <w:szCs w:val="24"/>
        </w:rPr>
        <w:t xml:space="preserve"> together with on-going centrally held management actions totalling </w:t>
      </w:r>
      <w:r w:rsidRPr="00D74F2C">
        <w:rPr>
          <w:rFonts w:cs="Arial"/>
          <w:b/>
          <w:szCs w:val="24"/>
        </w:rPr>
        <w:t>(£274k).</w:t>
      </w:r>
    </w:p>
    <w:p w14:paraId="6300235A" w14:textId="77777777" w:rsidR="002B6ADB" w:rsidRDefault="002B6ADB" w:rsidP="002B6ADB">
      <w:pPr>
        <w:spacing w:line="276" w:lineRule="auto"/>
        <w:ind w:firstLine="709"/>
        <w:jc w:val="both"/>
        <w:rPr>
          <w:u w:val="single"/>
        </w:rPr>
      </w:pPr>
    </w:p>
    <w:p w14:paraId="797D79A4" w14:textId="0E9599E9" w:rsidR="00D74E6F" w:rsidRPr="002C36A3" w:rsidRDefault="00D74E6F" w:rsidP="002B6ADB">
      <w:pPr>
        <w:spacing w:line="276" w:lineRule="auto"/>
        <w:ind w:firstLine="709"/>
        <w:jc w:val="both"/>
        <w:rPr>
          <w:u w:val="single"/>
        </w:rPr>
      </w:pPr>
      <w:r w:rsidRPr="002C36A3">
        <w:rPr>
          <w:u w:val="single"/>
        </w:rPr>
        <w:t>Dedicated School</w:t>
      </w:r>
      <w:r w:rsidR="009B78EE">
        <w:rPr>
          <w:u w:val="single"/>
        </w:rPr>
        <w:t>s</w:t>
      </w:r>
      <w:r w:rsidRPr="002C36A3">
        <w:rPr>
          <w:u w:val="single"/>
        </w:rPr>
        <w:t xml:space="preserve"> Grant </w:t>
      </w:r>
    </w:p>
    <w:p w14:paraId="5969A3F8" w14:textId="66022EA9" w:rsidR="00D74F2C" w:rsidRPr="00D74F2C" w:rsidRDefault="00D74E6F" w:rsidP="00321F56">
      <w:pPr>
        <w:pStyle w:val="ListParagraph"/>
        <w:numPr>
          <w:ilvl w:val="0"/>
          <w:numId w:val="20"/>
        </w:numPr>
        <w:spacing w:after="120"/>
        <w:ind w:hanging="720"/>
        <w:jc w:val="both"/>
      </w:pPr>
      <w:r w:rsidRPr="00E20900">
        <w:rPr>
          <w:rFonts w:cs="Arial"/>
          <w:szCs w:val="24"/>
        </w:rPr>
        <w:t>The</w:t>
      </w:r>
      <w:r w:rsidR="00D74F2C">
        <w:rPr>
          <w:rFonts w:cs="Arial"/>
          <w:szCs w:val="24"/>
        </w:rPr>
        <w:t xml:space="preserve"> total notified DSG budget at Q3</w:t>
      </w:r>
      <w:r w:rsidRPr="00E20900">
        <w:rPr>
          <w:rFonts w:cs="Arial"/>
          <w:szCs w:val="24"/>
        </w:rPr>
        <w:t xml:space="preserve"> is £130.757m. </w:t>
      </w:r>
      <w:r w:rsidR="00D74F2C" w:rsidRPr="00D74F2C">
        <w:rPr>
          <w:rFonts w:cs="Arial"/>
          <w:szCs w:val="24"/>
        </w:rPr>
        <w:t>There is an anticipated pressure on the DSG in 201</w:t>
      </w:r>
      <w:r w:rsidR="00C279E9">
        <w:rPr>
          <w:rFonts w:cs="Arial"/>
          <w:szCs w:val="24"/>
        </w:rPr>
        <w:t>6/</w:t>
      </w:r>
      <w:r w:rsidR="00D74F2C" w:rsidRPr="00D74F2C">
        <w:rPr>
          <w:rFonts w:cs="Arial"/>
          <w:szCs w:val="24"/>
        </w:rPr>
        <w:t xml:space="preserve">17 totalling </w:t>
      </w:r>
      <w:r w:rsidR="00D74F2C" w:rsidRPr="00D74F2C">
        <w:rPr>
          <w:rFonts w:cs="Arial"/>
          <w:b/>
          <w:szCs w:val="24"/>
        </w:rPr>
        <w:t>£0.484m</w:t>
      </w:r>
      <w:r w:rsidR="00D74F2C">
        <w:rPr>
          <w:rFonts w:cs="Arial"/>
          <w:szCs w:val="24"/>
        </w:rPr>
        <w:t>.</w:t>
      </w:r>
    </w:p>
    <w:p w14:paraId="56AE0137" w14:textId="7AD65524" w:rsidR="00D74E6F" w:rsidRDefault="00D74F2C" w:rsidP="00321F56">
      <w:pPr>
        <w:pStyle w:val="ListParagraph"/>
        <w:numPr>
          <w:ilvl w:val="0"/>
          <w:numId w:val="20"/>
        </w:numPr>
        <w:spacing w:after="120"/>
        <w:ind w:hanging="720"/>
        <w:jc w:val="both"/>
      </w:pPr>
      <w:r>
        <w:rPr>
          <w:b/>
        </w:rPr>
        <w:t>Early Years £168</w:t>
      </w:r>
      <w:r w:rsidR="00D74E6F" w:rsidRPr="00E20900">
        <w:rPr>
          <w:b/>
        </w:rPr>
        <w:t>k overspend</w:t>
      </w:r>
      <w:r w:rsidR="00D74E6F">
        <w:t xml:space="preserve"> – </w:t>
      </w:r>
      <w:r w:rsidRPr="00D74F2C">
        <w:t xml:space="preserve">due to an increase in participating 2, 3 and </w:t>
      </w:r>
      <w:r w:rsidR="00C279E9">
        <w:t>4 year olds where the funding has</w:t>
      </w:r>
      <w:r w:rsidRPr="00D74F2C">
        <w:t xml:space="preserve"> lagged. This will be offset by a centrally held early </w:t>
      </w:r>
      <w:r w:rsidR="00235588" w:rsidRPr="00D74F2C">
        <w:t>year’s</w:t>
      </w:r>
      <w:r w:rsidRPr="00D74F2C">
        <w:t xml:space="preserve"> contingency</w:t>
      </w:r>
      <w:r>
        <w:t>.</w:t>
      </w:r>
    </w:p>
    <w:p w14:paraId="6C717006" w14:textId="24C7D2ED" w:rsidR="00D74E6F" w:rsidRDefault="00D74F2C" w:rsidP="00321F56">
      <w:pPr>
        <w:numPr>
          <w:ilvl w:val="0"/>
          <w:numId w:val="20"/>
        </w:numPr>
        <w:spacing w:after="120"/>
        <w:ind w:hanging="720"/>
        <w:jc w:val="both"/>
      </w:pPr>
      <w:r>
        <w:rPr>
          <w:b/>
        </w:rPr>
        <w:lastRenderedPageBreak/>
        <w:t>High Needs £0.980</w:t>
      </w:r>
      <w:r w:rsidR="00D74E6F" w:rsidRPr="00B51EB9">
        <w:rPr>
          <w:b/>
        </w:rPr>
        <w:t>m overspend</w:t>
      </w:r>
      <w:r w:rsidR="00D74E6F">
        <w:t xml:space="preserve"> – due to an increase in demand and complexity and the change in age range to 0-25 year olds in relation to the SEND reforms</w:t>
      </w:r>
      <w:r w:rsidR="001F1E67">
        <w:t>.</w:t>
      </w:r>
    </w:p>
    <w:p w14:paraId="633C5D1D" w14:textId="102C8B68" w:rsidR="00E20900" w:rsidRDefault="00D74F2C" w:rsidP="00321F56">
      <w:pPr>
        <w:numPr>
          <w:ilvl w:val="0"/>
          <w:numId w:val="20"/>
        </w:numPr>
        <w:spacing w:after="240"/>
        <w:ind w:hanging="720"/>
        <w:jc w:val="both"/>
      </w:pPr>
      <w:r>
        <w:rPr>
          <w:b/>
        </w:rPr>
        <w:t>Central Fund (£498</w:t>
      </w:r>
      <w:r w:rsidR="00D74E6F" w:rsidRPr="00E20900">
        <w:rPr>
          <w:b/>
        </w:rPr>
        <w:t>k</w:t>
      </w:r>
      <w:r>
        <w:rPr>
          <w:b/>
        </w:rPr>
        <w:t>)</w:t>
      </w:r>
      <w:r w:rsidR="00D74E6F" w:rsidRPr="00E20900">
        <w:rPr>
          <w:b/>
        </w:rPr>
        <w:t xml:space="preserve"> underspend</w:t>
      </w:r>
      <w:r w:rsidR="00235588">
        <w:rPr>
          <w:b/>
        </w:rPr>
        <w:t>s</w:t>
      </w:r>
      <w:r w:rsidR="00D74E6F">
        <w:t xml:space="preserve"> – due to a reduction in the number of bu</w:t>
      </w:r>
      <w:r w:rsidR="00C279E9">
        <w:t>lge classes required in 2016/</w:t>
      </w:r>
      <w:r w:rsidR="00E20900">
        <w:t>17.</w:t>
      </w:r>
    </w:p>
    <w:p w14:paraId="365515F8" w14:textId="4B341C40" w:rsidR="00D74F2C" w:rsidRDefault="00D74F2C" w:rsidP="00321F56">
      <w:pPr>
        <w:numPr>
          <w:ilvl w:val="0"/>
          <w:numId w:val="20"/>
        </w:numPr>
        <w:spacing w:after="240"/>
        <w:ind w:hanging="720"/>
        <w:jc w:val="both"/>
      </w:pPr>
      <w:r w:rsidRPr="00D74F2C">
        <w:t>In addition to this there is a deficit on the schools funding formula of £2.069m which is being funded from a brought forward schools contingency in 2016-17</w:t>
      </w:r>
      <w:r>
        <w:t>.</w:t>
      </w:r>
      <w:r w:rsidR="00B0628A">
        <w:t xml:space="preserve"> There is no impact on the Council’s General Fund position from the Dedicated School Grant pressure.</w:t>
      </w:r>
    </w:p>
    <w:p w14:paraId="2BE9F9DD" w14:textId="77777777" w:rsidR="00B63C98" w:rsidRPr="002C36A3" w:rsidRDefault="00B63C98" w:rsidP="00F650D7">
      <w:pPr>
        <w:spacing w:after="240"/>
        <w:ind w:firstLine="709"/>
        <w:jc w:val="both"/>
        <w:rPr>
          <w:rFonts w:cs="Arial"/>
          <w:szCs w:val="24"/>
          <w:u w:val="single"/>
        </w:rPr>
      </w:pPr>
      <w:r w:rsidRPr="002C36A3">
        <w:rPr>
          <w:rFonts w:cs="Arial"/>
          <w:szCs w:val="24"/>
          <w:u w:val="single"/>
        </w:rPr>
        <w:t>P</w:t>
      </w:r>
      <w:r w:rsidR="007E71BD" w:rsidRPr="002C36A3">
        <w:rPr>
          <w:rFonts w:cs="Arial"/>
          <w:szCs w:val="24"/>
          <w:u w:val="single"/>
        </w:rPr>
        <w:t>ublic</w:t>
      </w:r>
      <w:r w:rsidRPr="002C36A3">
        <w:rPr>
          <w:rFonts w:cs="Arial"/>
          <w:szCs w:val="24"/>
          <w:u w:val="single"/>
        </w:rPr>
        <w:t xml:space="preserve"> H</w:t>
      </w:r>
      <w:r w:rsidR="007E71BD" w:rsidRPr="002C36A3">
        <w:rPr>
          <w:rFonts w:cs="Arial"/>
          <w:szCs w:val="24"/>
          <w:u w:val="single"/>
        </w:rPr>
        <w:t>ealth</w:t>
      </w:r>
    </w:p>
    <w:p w14:paraId="573E69AC" w14:textId="71498EC3" w:rsidR="007475D5" w:rsidRDefault="007475D5" w:rsidP="00F67A46">
      <w:pPr>
        <w:pStyle w:val="ListParagraph"/>
        <w:numPr>
          <w:ilvl w:val="1"/>
          <w:numId w:val="18"/>
        </w:numPr>
        <w:spacing w:after="120"/>
        <w:ind w:left="709" w:hanging="709"/>
        <w:jc w:val="both"/>
        <w:rPr>
          <w:rFonts w:cs="Arial"/>
          <w:szCs w:val="24"/>
        </w:rPr>
      </w:pPr>
      <w:r>
        <w:rPr>
          <w:rFonts w:cs="Arial"/>
          <w:szCs w:val="24"/>
        </w:rPr>
        <w:t xml:space="preserve">Public Health’s position at Quarter </w:t>
      </w:r>
      <w:r w:rsidR="00D74F2C">
        <w:rPr>
          <w:rFonts w:cs="Arial"/>
          <w:szCs w:val="24"/>
        </w:rPr>
        <w:t>3</w:t>
      </w:r>
      <w:r>
        <w:rPr>
          <w:rFonts w:cs="Arial"/>
          <w:szCs w:val="24"/>
        </w:rPr>
        <w:t xml:space="preserve"> is</w:t>
      </w:r>
      <w:r w:rsidR="00F04E04">
        <w:rPr>
          <w:rFonts w:cs="Arial"/>
          <w:szCs w:val="24"/>
        </w:rPr>
        <w:t xml:space="preserve"> a </w:t>
      </w:r>
      <w:r w:rsidRPr="00D74F2C">
        <w:rPr>
          <w:rFonts w:cs="Arial"/>
          <w:b/>
          <w:szCs w:val="24"/>
        </w:rPr>
        <w:t>(£</w:t>
      </w:r>
      <w:r w:rsidR="00D74F2C" w:rsidRPr="00D74F2C">
        <w:rPr>
          <w:rFonts w:cs="Arial"/>
          <w:b/>
          <w:szCs w:val="24"/>
        </w:rPr>
        <w:t>911</w:t>
      </w:r>
      <w:r w:rsidR="00F04E04" w:rsidRPr="00D74F2C">
        <w:rPr>
          <w:rFonts w:cs="Arial"/>
          <w:b/>
          <w:szCs w:val="24"/>
        </w:rPr>
        <w:t>k)</w:t>
      </w:r>
      <w:r w:rsidR="00F04E04">
        <w:rPr>
          <w:rFonts w:cs="Arial"/>
          <w:szCs w:val="24"/>
        </w:rPr>
        <w:t xml:space="preserve"> </w:t>
      </w:r>
      <w:r w:rsidR="007635E6">
        <w:rPr>
          <w:rFonts w:cs="Arial"/>
          <w:szCs w:val="24"/>
        </w:rPr>
        <w:t>underspend</w:t>
      </w:r>
      <w:r w:rsidR="00235588">
        <w:rPr>
          <w:rFonts w:cs="Arial"/>
          <w:szCs w:val="24"/>
        </w:rPr>
        <w:t>s</w:t>
      </w:r>
      <w:r w:rsidR="007635E6">
        <w:rPr>
          <w:rFonts w:cs="Arial"/>
          <w:szCs w:val="24"/>
        </w:rPr>
        <w:t>,</w:t>
      </w:r>
      <w:r w:rsidR="00F04E04">
        <w:rPr>
          <w:rFonts w:cs="Arial"/>
          <w:szCs w:val="24"/>
        </w:rPr>
        <w:t xml:space="preserve"> </w:t>
      </w:r>
      <w:r>
        <w:rPr>
          <w:rFonts w:cs="Arial"/>
          <w:szCs w:val="24"/>
        </w:rPr>
        <w:t xml:space="preserve">a favourable movement of </w:t>
      </w:r>
      <w:r w:rsidR="00D74F2C" w:rsidRPr="00D74F2C">
        <w:rPr>
          <w:rFonts w:cs="Arial"/>
          <w:b/>
          <w:szCs w:val="24"/>
        </w:rPr>
        <w:t>(</w:t>
      </w:r>
      <w:r w:rsidRPr="00D74F2C">
        <w:rPr>
          <w:rFonts w:cs="Arial"/>
          <w:b/>
          <w:szCs w:val="24"/>
        </w:rPr>
        <w:t>£</w:t>
      </w:r>
      <w:r w:rsidR="00F04E04" w:rsidRPr="00D74F2C">
        <w:rPr>
          <w:rFonts w:cs="Arial"/>
          <w:b/>
          <w:szCs w:val="24"/>
        </w:rPr>
        <w:t>0.</w:t>
      </w:r>
      <w:r w:rsidR="00D74F2C" w:rsidRPr="00D74F2C">
        <w:rPr>
          <w:rFonts w:cs="Arial"/>
          <w:b/>
          <w:szCs w:val="24"/>
        </w:rPr>
        <w:t>383</w:t>
      </w:r>
      <w:r w:rsidR="00F04E04" w:rsidRPr="00D74F2C">
        <w:rPr>
          <w:rFonts w:cs="Arial"/>
          <w:b/>
          <w:szCs w:val="24"/>
        </w:rPr>
        <w:t>m</w:t>
      </w:r>
      <w:r w:rsidR="00D74F2C" w:rsidRPr="00D74F2C">
        <w:rPr>
          <w:rFonts w:cs="Arial"/>
          <w:b/>
          <w:szCs w:val="24"/>
        </w:rPr>
        <w:t>)</w:t>
      </w:r>
      <w:r>
        <w:rPr>
          <w:rFonts w:cs="Arial"/>
          <w:szCs w:val="24"/>
        </w:rPr>
        <w:t xml:space="preserve"> when compare</w:t>
      </w:r>
      <w:r w:rsidR="00F04E04">
        <w:rPr>
          <w:rFonts w:cs="Arial"/>
          <w:szCs w:val="24"/>
        </w:rPr>
        <w:t>d</w:t>
      </w:r>
      <w:r w:rsidR="00D74F2C">
        <w:rPr>
          <w:rFonts w:cs="Arial"/>
          <w:szCs w:val="24"/>
        </w:rPr>
        <w:t xml:space="preserve"> to Quarter 2</w:t>
      </w:r>
      <w:r>
        <w:rPr>
          <w:rFonts w:cs="Arial"/>
          <w:szCs w:val="24"/>
        </w:rPr>
        <w:t>.</w:t>
      </w:r>
      <w:r w:rsidR="009B78EE">
        <w:rPr>
          <w:rFonts w:cs="Arial"/>
          <w:bCs/>
          <w:szCs w:val="24"/>
        </w:rPr>
        <w:t xml:space="preserve"> The reason for the improve position</w:t>
      </w:r>
      <w:r w:rsidR="00CC124A" w:rsidRPr="00CC124A">
        <w:rPr>
          <w:rFonts w:cs="Arial"/>
          <w:bCs/>
          <w:szCs w:val="24"/>
        </w:rPr>
        <w:t xml:space="preserve"> is largely due to forecast underspends against contracted activity, especially around activity led sexual health budgets</w:t>
      </w:r>
      <w:r w:rsidR="00CC124A">
        <w:rPr>
          <w:rFonts w:cs="Arial"/>
          <w:bCs/>
          <w:szCs w:val="24"/>
        </w:rPr>
        <w:t>.</w:t>
      </w:r>
    </w:p>
    <w:p w14:paraId="65794A26" w14:textId="77777777" w:rsidR="00CC124A" w:rsidRDefault="006A6FB1" w:rsidP="001F1E67">
      <w:pPr>
        <w:pStyle w:val="ListParagraph"/>
        <w:numPr>
          <w:ilvl w:val="1"/>
          <w:numId w:val="18"/>
        </w:numPr>
        <w:spacing w:after="120"/>
        <w:ind w:left="709" w:hanging="709"/>
        <w:jc w:val="both"/>
        <w:rPr>
          <w:rFonts w:cs="Arial"/>
          <w:szCs w:val="24"/>
        </w:rPr>
      </w:pPr>
      <w:r w:rsidRPr="006A6FB1">
        <w:rPr>
          <w:rFonts w:cs="Arial"/>
          <w:szCs w:val="24"/>
        </w:rPr>
        <w:t xml:space="preserve">The 2016/17 budget process created capacity of </w:t>
      </w:r>
      <w:r w:rsidR="007475D5" w:rsidRPr="00B0628A">
        <w:rPr>
          <w:rFonts w:cs="Arial"/>
          <w:szCs w:val="24"/>
        </w:rPr>
        <w:t>(</w:t>
      </w:r>
      <w:r w:rsidRPr="00B0628A">
        <w:rPr>
          <w:rFonts w:cs="Arial"/>
          <w:szCs w:val="24"/>
        </w:rPr>
        <w:t>£184k</w:t>
      </w:r>
      <w:r w:rsidR="007475D5" w:rsidRPr="00B0628A">
        <w:rPr>
          <w:rFonts w:cs="Arial"/>
          <w:szCs w:val="24"/>
        </w:rPr>
        <w:t>)</w:t>
      </w:r>
      <w:r w:rsidRPr="006A6FB1">
        <w:rPr>
          <w:rFonts w:cs="Arial"/>
          <w:szCs w:val="24"/>
        </w:rPr>
        <w:t xml:space="preserve"> in the grant against which wider public health outcomes could be charged.  Further capacity of </w:t>
      </w:r>
      <w:r w:rsidR="007475D5" w:rsidRPr="00B0628A">
        <w:rPr>
          <w:rFonts w:cs="Arial"/>
          <w:szCs w:val="24"/>
        </w:rPr>
        <w:t>(</w:t>
      </w:r>
      <w:r w:rsidR="00CC124A" w:rsidRPr="00B0628A">
        <w:rPr>
          <w:rFonts w:cs="Arial"/>
          <w:szCs w:val="24"/>
        </w:rPr>
        <w:t>£727</w:t>
      </w:r>
      <w:r w:rsidRPr="00B0628A">
        <w:rPr>
          <w:rFonts w:cs="Arial"/>
          <w:szCs w:val="24"/>
        </w:rPr>
        <w:t>k</w:t>
      </w:r>
      <w:r w:rsidR="007475D5" w:rsidRPr="00B0628A">
        <w:rPr>
          <w:rFonts w:cs="Arial"/>
          <w:szCs w:val="24"/>
        </w:rPr>
        <w:t>)</w:t>
      </w:r>
      <w:r w:rsidRPr="006A6FB1">
        <w:rPr>
          <w:rFonts w:cs="Arial"/>
          <w:szCs w:val="24"/>
        </w:rPr>
        <w:t xml:space="preserve"> has been identified</w:t>
      </w:r>
      <w:r w:rsidR="00CC124A">
        <w:rPr>
          <w:rFonts w:cs="Arial"/>
          <w:szCs w:val="24"/>
        </w:rPr>
        <w:t xml:space="preserve"> and represented the following;</w:t>
      </w:r>
    </w:p>
    <w:p w14:paraId="165F6526" w14:textId="77777777" w:rsidR="00CC124A" w:rsidRDefault="00CC124A" w:rsidP="00CC124A">
      <w:pPr>
        <w:pStyle w:val="ListParagraph"/>
        <w:numPr>
          <w:ilvl w:val="1"/>
          <w:numId w:val="18"/>
        </w:numPr>
        <w:spacing w:after="120"/>
        <w:ind w:left="709" w:hanging="709"/>
        <w:jc w:val="both"/>
        <w:rPr>
          <w:rFonts w:cs="Arial"/>
          <w:szCs w:val="24"/>
        </w:rPr>
      </w:pPr>
      <w:r>
        <w:rPr>
          <w:rFonts w:cs="Arial"/>
          <w:szCs w:val="24"/>
        </w:rPr>
        <w:t>R</w:t>
      </w:r>
      <w:r w:rsidRPr="00CC124A">
        <w:rPr>
          <w:rFonts w:cs="Arial"/>
          <w:szCs w:val="24"/>
        </w:rPr>
        <w:t>educed spend on wider health improvement together with the funding allocated by members to fund specific pr</w:t>
      </w:r>
      <w:r>
        <w:rPr>
          <w:rFonts w:cs="Arial"/>
          <w:szCs w:val="24"/>
        </w:rPr>
        <w:t xml:space="preserve">ojects in areas of cuts </w:t>
      </w:r>
      <w:r w:rsidRPr="00CC124A">
        <w:rPr>
          <w:rFonts w:cs="Arial"/>
          <w:b/>
          <w:szCs w:val="24"/>
        </w:rPr>
        <w:t>(£375k).</w:t>
      </w:r>
    </w:p>
    <w:p w14:paraId="7F54C4B8" w14:textId="0F37F363" w:rsidR="00CC124A" w:rsidRDefault="00CC124A" w:rsidP="00CC124A">
      <w:pPr>
        <w:pStyle w:val="ListParagraph"/>
        <w:numPr>
          <w:ilvl w:val="1"/>
          <w:numId w:val="18"/>
        </w:numPr>
        <w:spacing w:after="120"/>
        <w:jc w:val="both"/>
        <w:rPr>
          <w:rFonts w:cs="Arial"/>
          <w:szCs w:val="24"/>
        </w:rPr>
      </w:pPr>
      <w:r>
        <w:rPr>
          <w:rFonts w:cs="Arial"/>
          <w:szCs w:val="24"/>
        </w:rPr>
        <w:t>U</w:t>
      </w:r>
      <w:r w:rsidRPr="00CC124A">
        <w:rPr>
          <w:rFonts w:cs="Arial"/>
          <w:szCs w:val="24"/>
        </w:rPr>
        <w:t xml:space="preserve">nderspends against contracted activity </w:t>
      </w:r>
      <w:r w:rsidRPr="00CC124A">
        <w:rPr>
          <w:rFonts w:cs="Arial"/>
          <w:b/>
          <w:szCs w:val="24"/>
        </w:rPr>
        <w:t>(£290k).</w:t>
      </w:r>
    </w:p>
    <w:p w14:paraId="0503F867" w14:textId="2DF6B904" w:rsidR="00CC124A" w:rsidRDefault="00CC124A" w:rsidP="00CC124A">
      <w:pPr>
        <w:pStyle w:val="ListParagraph"/>
        <w:numPr>
          <w:ilvl w:val="1"/>
          <w:numId w:val="18"/>
        </w:numPr>
        <w:spacing w:after="120"/>
        <w:ind w:left="709" w:hanging="709"/>
        <w:jc w:val="both"/>
        <w:rPr>
          <w:rFonts w:cs="Arial"/>
          <w:szCs w:val="24"/>
        </w:rPr>
      </w:pPr>
      <w:r>
        <w:rPr>
          <w:rFonts w:cs="Arial"/>
          <w:szCs w:val="24"/>
        </w:rPr>
        <w:t>F</w:t>
      </w:r>
      <w:r w:rsidRPr="00CC124A">
        <w:rPr>
          <w:rFonts w:cs="Arial"/>
          <w:szCs w:val="24"/>
        </w:rPr>
        <w:t xml:space="preserve">orecast underspend against the sexual health budget </w:t>
      </w:r>
      <w:r w:rsidRPr="00CC124A">
        <w:rPr>
          <w:rFonts w:cs="Arial"/>
          <w:b/>
          <w:szCs w:val="24"/>
        </w:rPr>
        <w:t>(£332k)</w:t>
      </w:r>
      <w:r w:rsidRPr="00CC124A">
        <w:rPr>
          <w:rFonts w:cs="Arial"/>
          <w:szCs w:val="24"/>
        </w:rPr>
        <w:t xml:space="preserve">, based on actual activity to August 2016. The demand led nature of sexual health services reflects the greatest financial risk that activity may increase which </w:t>
      </w:r>
      <w:r w:rsidR="00235588">
        <w:rPr>
          <w:rFonts w:cs="Arial"/>
          <w:szCs w:val="24"/>
        </w:rPr>
        <w:t xml:space="preserve">has the potential to reduce the </w:t>
      </w:r>
      <w:r w:rsidRPr="00CC124A">
        <w:rPr>
          <w:rFonts w:cs="Arial"/>
          <w:szCs w:val="24"/>
        </w:rPr>
        <w:t>underspend accordingly</w:t>
      </w:r>
      <w:r>
        <w:rPr>
          <w:rFonts w:cs="Arial"/>
          <w:szCs w:val="24"/>
        </w:rPr>
        <w:t>.</w:t>
      </w:r>
    </w:p>
    <w:p w14:paraId="19478FEC" w14:textId="23C32080" w:rsidR="00CC124A" w:rsidRDefault="00CC124A" w:rsidP="008210B6">
      <w:pPr>
        <w:pStyle w:val="ListParagraph"/>
        <w:numPr>
          <w:ilvl w:val="1"/>
          <w:numId w:val="18"/>
        </w:numPr>
        <w:ind w:left="706" w:hanging="706"/>
        <w:jc w:val="both"/>
        <w:rPr>
          <w:rFonts w:cs="Arial"/>
          <w:szCs w:val="24"/>
        </w:rPr>
      </w:pPr>
      <w:r>
        <w:rPr>
          <w:rFonts w:cs="Arial"/>
          <w:szCs w:val="24"/>
        </w:rPr>
        <w:t xml:space="preserve">The above </w:t>
      </w:r>
      <w:r w:rsidRPr="00CC124A">
        <w:rPr>
          <w:rFonts w:cs="Arial"/>
          <w:szCs w:val="24"/>
        </w:rPr>
        <w:t xml:space="preserve">underspends have been offset by various additional pressures of </w:t>
      </w:r>
      <w:r w:rsidRPr="00CC124A">
        <w:rPr>
          <w:rFonts w:cs="Arial"/>
          <w:b/>
          <w:szCs w:val="24"/>
        </w:rPr>
        <w:t>£86k</w:t>
      </w:r>
      <w:r>
        <w:rPr>
          <w:rFonts w:cs="Arial"/>
          <w:szCs w:val="24"/>
        </w:rPr>
        <w:t>.</w:t>
      </w:r>
    </w:p>
    <w:bookmarkEnd w:id="3"/>
    <w:p w14:paraId="1073FCB1" w14:textId="77777777" w:rsidR="00EC54FC" w:rsidRDefault="00EC54FC" w:rsidP="008210B6">
      <w:pPr>
        <w:jc w:val="both"/>
        <w:rPr>
          <w:rFonts w:cs="Arial"/>
          <w:b/>
          <w:szCs w:val="24"/>
          <w:u w:val="single"/>
        </w:rPr>
      </w:pPr>
    </w:p>
    <w:p w14:paraId="443E1390" w14:textId="38AF8620" w:rsidR="00F04E04" w:rsidRDefault="00FD633E" w:rsidP="002B6ADB">
      <w:pPr>
        <w:spacing w:after="120"/>
        <w:jc w:val="both"/>
        <w:rPr>
          <w:rFonts w:cs="Arial"/>
          <w:b/>
          <w:szCs w:val="24"/>
          <w:u w:val="single"/>
        </w:rPr>
      </w:pPr>
      <w:r w:rsidRPr="008A73C4">
        <w:rPr>
          <w:rFonts w:cs="Arial"/>
          <w:b/>
          <w:szCs w:val="24"/>
          <w:u w:val="single"/>
        </w:rPr>
        <w:t>R</w:t>
      </w:r>
      <w:r w:rsidR="00152955">
        <w:rPr>
          <w:rFonts w:cs="Arial"/>
          <w:b/>
          <w:szCs w:val="24"/>
          <w:u w:val="single"/>
        </w:rPr>
        <w:t>egeneration, Enterprise and Planning Services</w:t>
      </w:r>
    </w:p>
    <w:p w14:paraId="0BE6A250" w14:textId="1257D1B9" w:rsidR="00F04E04" w:rsidRPr="00AF598E" w:rsidRDefault="00F04E04" w:rsidP="00EC54FC">
      <w:pPr>
        <w:spacing w:after="240"/>
        <w:jc w:val="both"/>
        <w:rPr>
          <w:rFonts w:cs="Arial"/>
          <w:b/>
          <w:szCs w:val="24"/>
          <w:u w:val="single"/>
        </w:rPr>
      </w:pPr>
      <w:r w:rsidRPr="00AF598E">
        <w:rPr>
          <w:rFonts w:cs="Arial"/>
          <w:b/>
          <w:szCs w:val="24"/>
          <w:u w:val="single"/>
        </w:rPr>
        <w:t xml:space="preserve">Table 6: Regeneration, Enterprise and </w:t>
      </w:r>
      <w:r w:rsidR="00A533C8">
        <w:rPr>
          <w:rFonts w:cs="Arial"/>
          <w:b/>
          <w:szCs w:val="24"/>
          <w:u w:val="single"/>
        </w:rPr>
        <w:t>P</w:t>
      </w:r>
      <w:r w:rsidR="00A533C8" w:rsidRPr="00AF598E">
        <w:rPr>
          <w:rFonts w:cs="Arial"/>
          <w:b/>
          <w:szCs w:val="24"/>
          <w:u w:val="single"/>
        </w:rPr>
        <w:t>lanning</w:t>
      </w:r>
      <w:r w:rsidR="00A533C8">
        <w:rPr>
          <w:rFonts w:cs="Arial"/>
          <w:b/>
          <w:szCs w:val="24"/>
          <w:u w:val="single"/>
        </w:rPr>
        <w:t xml:space="preserve"> V</w:t>
      </w:r>
      <w:r w:rsidR="00AF598E">
        <w:rPr>
          <w:rFonts w:cs="Arial"/>
          <w:b/>
          <w:szCs w:val="24"/>
          <w:u w:val="single"/>
        </w:rPr>
        <w:t>ariance</w:t>
      </w:r>
      <w:r w:rsidRPr="00AF598E">
        <w:rPr>
          <w:rFonts w:cs="Arial"/>
          <w:b/>
          <w:szCs w:val="24"/>
          <w:u w:val="single"/>
        </w:rPr>
        <w:t xml:space="preserve"> </w:t>
      </w:r>
    </w:p>
    <w:tbl>
      <w:tblPr>
        <w:tblW w:w="8162" w:type="dxa"/>
        <w:tblInd w:w="98" w:type="dxa"/>
        <w:tblLook w:val="04A0" w:firstRow="1" w:lastRow="0" w:firstColumn="1" w:lastColumn="0" w:noHBand="0" w:noVBand="1"/>
      </w:tblPr>
      <w:tblGrid>
        <w:gridCol w:w="2579"/>
        <w:gridCol w:w="1843"/>
        <w:gridCol w:w="1776"/>
        <w:gridCol w:w="1964"/>
      </w:tblGrid>
      <w:tr w:rsidR="00702C8A" w:rsidRPr="00702C8A" w14:paraId="54D3EFA7" w14:textId="77777777" w:rsidTr="004F46E4">
        <w:trPr>
          <w:trHeight w:val="873"/>
        </w:trPr>
        <w:tc>
          <w:tcPr>
            <w:tcW w:w="2579" w:type="dxa"/>
            <w:tcBorders>
              <w:top w:val="single" w:sz="8" w:space="0" w:color="auto"/>
              <w:left w:val="single" w:sz="8" w:space="0" w:color="auto"/>
              <w:bottom w:val="nil"/>
              <w:right w:val="single" w:sz="8" w:space="0" w:color="auto"/>
            </w:tcBorders>
            <w:shd w:val="clear" w:color="auto" w:fill="auto"/>
            <w:vAlign w:val="center"/>
            <w:hideMark/>
          </w:tcPr>
          <w:bookmarkEnd w:id="2"/>
          <w:p w14:paraId="6DA05BAF" w14:textId="6DE679AF" w:rsidR="00702C8A" w:rsidRPr="00702C8A" w:rsidRDefault="00702C8A" w:rsidP="00702C8A">
            <w:pPr>
              <w:jc w:val="center"/>
              <w:rPr>
                <w:rFonts w:cs="Arial"/>
                <w:szCs w:val="24"/>
                <w:lang w:eastAsia="en-GB"/>
              </w:rPr>
            </w:pPr>
            <w:r>
              <w:tab/>
            </w:r>
            <w:r w:rsidRPr="00702C8A">
              <w:rPr>
                <w:rFonts w:cs="Arial"/>
                <w:szCs w:val="24"/>
                <w:lang w:eastAsia="en-GB"/>
              </w:rPr>
              <w:t> </w:t>
            </w:r>
          </w:p>
        </w:tc>
        <w:tc>
          <w:tcPr>
            <w:tcW w:w="1843" w:type="dxa"/>
            <w:tcBorders>
              <w:top w:val="single" w:sz="8" w:space="0" w:color="auto"/>
              <w:left w:val="nil"/>
              <w:bottom w:val="nil"/>
              <w:right w:val="single" w:sz="8" w:space="0" w:color="auto"/>
            </w:tcBorders>
            <w:shd w:val="clear" w:color="auto" w:fill="auto"/>
            <w:vAlign w:val="bottom"/>
            <w:hideMark/>
          </w:tcPr>
          <w:p w14:paraId="3BEA3D03" w14:textId="6C9680FF" w:rsidR="00702C8A" w:rsidRPr="00702C8A" w:rsidRDefault="002B6ADB" w:rsidP="00702C8A">
            <w:pPr>
              <w:jc w:val="both"/>
              <w:rPr>
                <w:rFonts w:cs="Arial"/>
                <w:szCs w:val="24"/>
                <w:lang w:eastAsia="en-GB"/>
              </w:rPr>
            </w:pPr>
            <w:r>
              <w:rPr>
                <w:rFonts w:cs="Arial"/>
                <w:szCs w:val="24"/>
                <w:lang w:eastAsia="en-GB"/>
              </w:rPr>
              <w:t>Quarter</w:t>
            </w:r>
            <w:r w:rsidR="008210B6">
              <w:rPr>
                <w:rFonts w:cs="Arial"/>
                <w:szCs w:val="24"/>
                <w:lang w:eastAsia="en-GB"/>
              </w:rPr>
              <w:t> </w:t>
            </w:r>
            <w:r w:rsidR="00702C8A" w:rsidRPr="00702C8A">
              <w:rPr>
                <w:rFonts w:cs="Arial"/>
                <w:szCs w:val="24"/>
                <w:lang w:eastAsia="en-GB"/>
              </w:rPr>
              <w:t>3 Variance</w:t>
            </w:r>
          </w:p>
        </w:tc>
        <w:tc>
          <w:tcPr>
            <w:tcW w:w="1776" w:type="dxa"/>
            <w:tcBorders>
              <w:top w:val="single" w:sz="8" w:space="0" w:color="auto"/>
              <w:left w:val="nil"/>
              <w:bottom w:val="nil"/>
              <w:right w:val="single" w:sz="8" w:space="0" w:color="auto"/>
            </w:tcBorders>
            <w:shd w:val="clear" w:color="auto" w:fill="auto"/>
            <w:vAlign w:val="bottom"/>
            <w:hideMark/>
          </w:tcPr>
          <w:p w14:paraId="24338045" w14:textId="5E909AFB" w:rsidR="00702C8A" w:rsidRPr="00702C8A" w:rsidRDefault="00702C8A" w:rsidP="008210B6">
            <w:pPr>
              <w:rPr>
                <w:rFonts w:cs="Arial"/>
                <w:szCs w:val="24"/>
                <w:lang w:eastAsia="en-GB"/>
              </w:rPr>
            </w:pPr>
            <w:r w:rsidRPr="00702C8A">
              <w:rPr>
                <w:rFonts w:cs="Arial"/>
                <w:szCs w:val="24"/>
                <w:lang w:eastAsia="en-GB"/>
              </w:rPr>
              <w:t>Quarter</w:t>
            </w:r>
            <w:r w:rsidR="008210B6">
              <w:rPr>
                <w:rFonts w:cs="Arial"/>
                <w:szCs w:val="24"/>
                <w:lang w:eastAsia="en-GB"/>
              </w:rPr>
              <w:t xml:space="preserve"> </w:t>
            </w:r>
            <w:r w:rsidRPr="00702C8A">
              <w:rPr>
                <w:rFonts w:cs="Arial"/>
                <w:szCs w:val="24"/>
                <w:lang w:eastAsia="en-GB"/>
              </w:rPr>
              <w:t>2 Variance</w:t>
            </w:r>
          </w:p>
        </w:tc>
        <w:tc>
          <w:tcPr>
            <w:tcW w:w="1964" w:type="dxa"/>
            <w:tcBorders>
              <w:top w:val="single" w:sz="8" w:space="0" w:color="auto"/>
              <w:left w:val="nil"/>
              <w:bottom w:val="nil"/>
              <w:right w:val="single" w:sz="8" w:space="0" w:color="auto"/>
            </w:tcBorders>
            <w:shd w:val="clear" w:color="auto" w:fill="auto"/>
            <w:vAlign w:val="center"/>
            <w:hideMark/>
          </w:tcPr>
          <w:p w14:paraId="66CCAB49" w14:textId="77777777" w:rsidR="00702C8A" w:rsidRPr="00702C8A" w:rsidRDefault="00702C8A" w:rsidP="008210B6">
            <w:pPr>
              <w:rPr>
                <w:rFonts w:cs="Arial"/>
                <w:szCs w:val="24"/>
                <w:lang w:eastAsia="en-GB"/>
              </w:rPr>
            </w:pPr>
            <w:r w:rsidRPr="00702C8A">
              <w:rPr>
                <w:rFonts w:cs="Arial"/>
                <w:szCs w:val="24"/>
                <w:lang w:eastAsia="en-GB"/>
              </w:rPr>
              <w:t>Movement between Quarter 3 and Quarter 2</w:t>
            </w:r>
          </w:p>
        </w:tc>
      </w:tr>
      <w:tr w:rsidR="00702C8A" w:rsidRPr="00702C8A" w14:paraId="3F008351" w14:textId="77777777" w:rsidTr="004F46E4">
        <w:trPr>
          <w:trHeight w:val="306"/>
        </w:trPr>
        <w:tc>
          <w:tcPr>
            <w:tcW w:w="2579" w:type="dxa"/>
            <w:tcBorders>
              <w:top w:val="nil"/>
              <w:left w:val="single" w:sz="8" w:space="0" w:color="auto"/>
              <w:bottom w:val="single" w:sz="8" w:space="0" w:color="auto"/>
              <w:right w:val="nil"/>
            </w:tcBorders>
            <w:shd w:val="clear" w:color="auto" w:fill="auto"/>
            <w:vAlign w:val="center"/>
            <w:hideMark/>
          </w:tcPr>
          <w:p w14:paraId="619DB53B" w14:textId="77777777" w:rsidR="00702C8A" w:rsidRPr="00702C8A" w:rsidRDefault="00702C8A" w:rsidP="00702C8A">
            <w:pPr>
              <w:jc w:val="center"/>
              <w:rPr>
                <w:rFonts w:cs="Arial"/>
                <w:szCs w:val="24"/>
                <w:lang w:eastAsia="en-GB"/>
              </w:rPr>
            </w:pPr>
            <w:r w:rsidRPr="00702C8A">
              <w:rPr>
                <w:rFonts w:cs="Arial"/>
                <w:szCs w:val="24"/>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E70EC" w14:textId="77777777" w:rsidR="00702C8A" w:rsidRPr="00702C8A" w:rsidRDefault="00702C8A" w:rsidP="00702C8A">
            <w:pPr>
              <w:jc w:val="center"/>
              <w:rPr>
                <w:rFonts w:cs="Arial"/>
                <w:szCs w:val="24"/>
                <w:lang w:eastAsia="en-GB"/>
              </w:rPr>
            </w:pPr>
            <w:r w:rsidRPr="00702C8A">
              <w:rPr>
                <w:rFonts w:cs="Arial"/>
                <w:szCs w:val="24"/>
                <w:lang w:eastAsia="en-GB"/>
              </w:rPr>
              <w:t>£'000</w:t>
            </w:r>
          </w:p>
        </w:tc>
        <w:tc>
          <w:tcPr>
            <w:tcW w:w="1776" w:type="dxa"/>
            <w:tcBorders>
              <w:top w:val="single" w:sz="4" w:space="0" w:color="auto"/>
              <w:left w:val="nil"/>
              <w:bottom w:val="single" w:sz="4" w:space="0" w:color="auto"/>
              <w:right w:val="single" w:sz="4" w:space="0" w:color="auto"/>
            </w:tcBorders>
            <w:shd w:val="clear" w:color="auto" w:fill="auto"/>
            <w:vAlign w:val="bottom"/>
            <w:hideMark/>
          </w:tcPr>
          <w:p w14:paraId="487EFB6E" w14:textId="77777777" w:rsidR="00702C8A" w:rsidRPr="00702C8A" w:rsidRDefault="00702C8A" w:rsidP="00702C8A">
            <w:pPr>
              <w:jc w:val="center"/>
              <w:rPr>
                <w:rFonts w:cs="Arial"/>
                <w:szCs w:val="24"/>
                <w:lang w:eastAsia="en-GB"/>
              </w:rPr>
            </w:pPr>
            <w:r w:rsidRPr="00702C8A">
              <w:rPr>
                <w:rFonts w:cs="Arial"/>
                <w:szCs w:val="24"/>
                <w:lang w:eastAsia="en-GB"/>
              </w:rPr>
              <w:t>£'000</w:t>
            </w:r>
          </w:p>
        </w:tc>
        <w:tc>
          <w:tcPr>
            <w:tcW w:w="1964" w:type="dxa"/>
            <w:tcBorders>
              <w:top w:val="single" w:sz="4" w:space="0" w:color="auto"/>
              <w:left w:val="nil"/>
              <w:bottom w:val="single" w:sz="4" w:space="0" w:color="auto"/>
              <w:right w:val="single" w:sz="4" w:space="0" w:color="auto"/>
            </w:tcBorders>
            <w:shd w:val="clear" w:color="auto" w:fill="auto"/>
            <w:vAlign w:val="bottom"/>
            <w:hideMark/>
          </w:tcPr>
          <w:p w14:paraId="4A8081CD" w14:textId="77777777" w:rsidR="00702C8A" w:rsidRPr="00702C8A" w:rsidRDefault="00702C8A" w:rsidP="00702C8A">
            <w:pPr>
              <w:jc w:val="center"/>
              <w:rPr>
                <w:rFonts w:cs="Arial"/>
                <w:szCs w:val="24"/>
                <w:lang w:eastAsia="en-GB"/>
              </w:rPr>
            </w:pPr>
            <w:r w:rsidRPr="00702C8A">
              <w:rPr>
                <w:rFonts w:cs="Arial"/>
                <w:szCs w:val="24"/>
                <w:lang w:eastAsia="en-GB"/>
              </w:rPr>
              <w:t>£'000</w:t>
            </w:r>
          </w:p>
        </w:tc>
      </w:tr>
      <w:tr w:rsidR="00702C8A" w:rsidRPr="00702C8A" w14:paraId="7D898A15" w14:textId="77777777" w:rsidTr="004F46E4">
        <w:trPr>
          <w:trHeight w:val="597"/>
        </w:trPr>
        <w:tc>
          <w:tcPr>
            <w:tcW w:w="2579" w:type="dxa"/>
            <w:tcBorders>
              <w:top w:val="nil"/>
              <w:left w:val="single" w:sz="8" w:space="0" w:color="auto"/>
              <w:bottom w:val="single" w:sz="8" w:space="0" w:color="auto"/>
              <w:right w:val="single" w:sz="8" w:space="0" w:color="auto"/>
            </w:tcBorders>
            <w:shd w:val="clear" w:color="auto" w:fill="auto"/>
            <w:vAlign w:val="center"/>
            <w:hideMark/>
          </w:tcPr>
          <w:p w14:paraId="11BA9F35" w14:textId="3E6012FF" w:rsidR="00702C8A" w:rsidRPr="00702C8A" w:rsidRDefault="008B678B" w:rsidP="00702C8A">
            <w:pPr>
              <w:jc w:val="both"/>
              <w:rPr>
                <w:rFonts w:cs="Arial"/>
                <w:szCs w:val="24"/>
                <w:lang w:eastAsia="en-GB"/>
              </w:rPr>
            </w:pPr>
            <w:r>
              <w:rPr>
                <w:rFonts w:cs="Arial"/>
                <w:szCs w:val="24"/>
                <w:lang w:eastAsia="en-GB"/>
              </w:rPr>
              <w:t>Economic Development</w:t>
            </w:r>
            <w:r w:rsidR="00702C8A" w:rsidRPr="00702C8A">
              <w:rPr>
                <w:rFonts w:cs="Arial"/>
                <w:szCs w:val="24"/>
                <w:lang w:eastAsia="en-GB"/>
              </w:rPr>
              <w:t>&amp; Research</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F7A737E" w14:textId="77777777" w:rsidR="00702C8A" w:rsidRPr="00702C8A" w:rsidRDefault="00702C8A" w:rsidP="00702C8A">
            <w:pPr>
              <w:jc w:val="center"/>
              <w:rPr>
                <w:rFonts w:cs="Arial"/>
                <w:color w:val="000000"/>
                <w:sz w:val="22"/>
                <w:szCs w:val="22"/>
                <w:lang w:eastAsia="en-GB"/>
              </w:rPr>
            </w:pPr>
            <w:r w:rsidRPr="00702C8A">
              <w:rPr>
                <w:rFonts w:cs="Arial"/>
                <w:color w:val="FF0000"/>
                <w:sz w:val="22"/>
                <w:szCs w:val="24"/>
                <w:lang w:eastAsia="en-GB"/>
              </w:rPr>
              <w:t>(6)</w:t>
            </w:r>
          </w:p>
        </w:tc>
        <w:tc>
          <w:tcPr>
            <w:tcW w:w="1776" w:type="dxa"/>
            <w:tcBorders>
              <w:top w:val="nil"/>
              <w:left w:val="nil"/>
              <w:bottom w:val="single" w:sz="4" w:space="0" w:color="auto"/>
              <w:right w:val="single" w:sz="4" w:space="0" w:color="auto"/>
            </w:tcBorders>
            <w:shd w:val="clear" w:color="auto" w:fill="auto"/>
            <w:noWrap/>
            <w:vAlign w:val="bottom"/>
            <w:hideMark/>
          </w:tcPr>
          <w:p w14:paraId="57AD8E4D" w14:textId="77777777" w:rsidR="00702C8A" w:rsidRPr="00702C8A" w:rsidRDefault="00702C8A" w:rsidP="00702C8A">
            <w:pPr>
              <w:jc w:val="center"/>
              <w:rPr>
                <w:rFonts w:cs="Arial"/>
                <w:color w:val="000000"/>
                <w:sz w:val="22"/>
                <w:szCs w:val="22"/>
                <w:lang w:eastAsia="en-GB"/>
              </w:rPr>
            </w:pPr>
            <w:r w:rsidRPr="00702C8A">
              <w:rPr>
                <w:rFonts w:cs="Arial"/>
                <w:color w:val="FF0000"/>
                <w:sz w:val="22"/>
                <w:szCs w:val="24"/>
                <w:lang w:eastAsia="en-GB"/>
              </w:rPr>
              <w:t>(6)</w:t>
            </w:r>
          </w:p>
        </w:tc>
        <w:tc>
          <w:tcPr>
            <w:tcW w:w="1964" w:type="dxa"/>
            <w:tcBorders>
              <w:top w:val="nil"/>
              <w:left w:val="nil"/>
              <w:bottom w:val="single" w:sz="4" w:space="0" w:color="auto"/>
              <w:right w:val="single" w:sz="4" w:space="0" w:color="auto"/>
            </w:tcBorders>
            <w:shd w:val="clear" w:color="auto" w:fill="auto"/>
            <w:noWrap/>
            <w:vAlign w:val="bottom"/>
            <w:hideMark/>
          </w:tcPr>
          <w:p w14:paraId="3838FE88" w14:textId="77777777" w:rsidR="00702C8A" w:rsidRPr="00702C8A" w:rsidRDefault="00702C8A" w:rsidP="00702C8A">
            <w:pPr>
              <w:jc w:val="center"/>
              <w:rPr>
                <w:rFonts w:cs="Arial"/>
                <w:color w:val="000000"/>
                <w:sz w:val="22"/>
                <w:szCs w:val="22"/>
                <w:lang w:eastAsia="en-GB"/>
              </w:rPr>
            </w:pPr>
            <w:r w:rsidRPr="00702C8A">
              <w:rPr>
                <w:rFonts w:cs="Arial"/>
                <w:color w:val="000000"/>
                <w:sz w:val="22"/>
                <w:szCs w:val="24"/>
                <w:lang w:eastAsia="en-GB"/>
              </w:rPr>
              <w:t>-</w:t>
            </w:r>
          </w:p>
        </w:tc>
      </w:tr>
      <w:tr w:rsidR="00702C8A" w:rsidRPr="00702C8A" w14:paraId="4787B74A" w14:textId="77777777" w:rsidTr="004F46E4">
        <w:trPr>
          <w:trHeight w:val="306"/>
        </w:trPr>
        <w:tc>
          <w:tcPr>
            <w:tcW w:w="2579" w:type="dxa"/>
            <w:tcBorders>
              <w:top w:val="nil"/>
              <w:left w:val="single" w:sz="8" w:space="0" w:color="auto"/>
              <w:bottom w:val="single" w:sz="8" w:space="0" w:color="auto"/>
              <w:right w:val="single" w:sz="8" w:space="0" w:color="auto"/>
            </w:tcBorders>
            <w:shd w:val="clear" w:color="auto" w:fill="auto"/>
            <w:vAlign w:val="center"/>
            <w:hideMark/>
          </w:tcPr>
          <w:p w14:paraId="2083504D" w14:textId="77777777" w:rsidR="00702C8A" w:rsidRPr="00702C8A" w:rsidRDefault="00702C8A" w:rsidP="00702C8A">
            <w:pPr>
              <w:jc w:val="both"/>
              <w:rPr>
                <w:rFonts w:cs="Arial"/>
                <w:szCs w:val="24"/>
                <w:lang w:eastAsia="en-GB"/>
              </w:rPr>
            </w:pPr>
            <w:r w:rsidRPr="00702C8A">
              <w:rPr>
                <w:rFonts w:cs="Arial"/>
                <w:szCs w:val="24"/>
                <w:lang w:eastAsia="en-GB"/>
              </w:rPr>
              <w:t>Planning</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8AC596F" w14:textId="77777777" w:rsidR="00702C8A" w:rsidRPr="00702C8A" w:rsidRDefault="00702C8A" w:rsidP="00702C8A">
            <w:pPr>
              <w:jc w:val="center"/>
              <w:rPr>
                <w:rFonts w:cs="Arial"/>
                <w:color w:val="000000"/>
                <w:sz w:val="22"/>
                <w:szCs w:val="22"/>
                <w:lang w:eastAsia="en-GB"/>
              </w:rPr>
            </w:pPr>
            <w:r w:rsidRPr="00702C8A">
              <w:rPr>
                <w:rFonts w:cs="Arial"/>
                <w:color w:val="000000"/>
                <w:sz w:val="22"/>
                <w:szCs w:val="24"/>
                <w:lang w:eastAsia="en-GB"/>
              </w:rPr>
              <w:t>68</w:t>
            </w:r>
          </w:p>
        </w:tc>
        <w:tc>
          <w:tcPr>
            <w:tcW w:w="1776" w:type="dxa"/>
            <w:tcBorders>
              <w:top w:val="nil"/>
              <w:left w:val="nil"/>
              <w:bottom w:val="single" w:sz="4" w:space="0" w:color="auto"/>
              <w:right w:val="single" w:sz="4" w:space="0" w:color="auto"/>
            </w:tcBorders>
            <w:shd w:val="clear" w:color="auto" w:fill="auto"/>
            <w:noWrap/>
            <w:vAlign w:val="bottom"/>
            <w:hideMark/>
          </w:tcPr>
          <w:p w14:paraId="36EFF1C2" w14:textId="77777777" w:rsidR="00702C8A" w:rsidRPr="00702C8A" w:rsidRDefault="00702C8A" w:rsidP="00702C8A">
            <w:pPr>
              <w:jc w:val="center"/>
              <w:rPr>
                <w:rFonts w:cs="Arial"/>
                <w:color w:val="000000"/>
                <w:sz w:val="22"/>
                <w:szCs w:val="22"/>
                <w:lang w:eastAsia="en-GB"/>
              </w:rPr>
            </w:pPr>
            <w:r w:rsidRPr="00702C8A">
              <w:rPr>
                <w:rFonts w:cs="Arial"/>
                <w:color w:val="000000"/>
                <w:sz w:val="22"/>
                <w:szCs w:val="24"/>
                <w:lang w:eastAsia="en-GB"/>
              </w:rPr>
              <w:t>68</w:t>
            </w:r>
          </w:p>
        </w:tc>
        <w:tc>
          <w:tcPr>
            <w:tcW w:w="1964" w:type="dxa"/>
            <w:tcBorders>
              <w:top w:val="nil"/>
              <w:left w:val="nil"/>
              <w:bottom w:val="single" w:sz="4" w:space="0" w:color="auto"/>
              <w:right w:val="single" w:sz="4" w:space="0" w:color="auto"/>
            </w:tcBorders>
            <w:shd w:val="clear" w:color="auto" w:fill="auto"/>
            <w:noWrap/>
            <w:vAlign w:val="bottom"/>
            <w:hideMark/>
          </w:tcPr>
          <w:p w14:paraId="2E1A71AD" w14:textId="77777777" w:rsidR="00702C8A" w:rsidRPr="00702C8A" w:rsidRDefault="00702C8A" w:rsidP="00702C8A">
            <w:pPr>
              <w:jc w:val="center"/>
              <w:rPr>
                <w:rFonts w:cs="Arial"/>
                <w:color w:val="000000"/>
                <w:sz w:val="22"/>
                <w:szCs w:val="22"/>
                <w:lang w:eastAsia="en-GB"/>
              </w:rPr>
            </w:pPr>
            <w:r w:rsidRPr="00702C8A">
              <w:rPr>
                <w:rFonts w:cs="Arial"/>
                <w:color w:val="000000"/>
                <w:sz w:val="22"/>
                <w:szCs w:val="24"/>
                <w:lang w:eastAsia="en-GB"/>
              </w:rPr>
              <w:t>-</w:t>
            </w:r>
          </w:p>
        </w:tc>
      </w:tr>
      <w:tr w:rsidR="00702C8A" w:rsidRPr="00702C8A" w14:paraId="37CB2167" w14:textId="77777777" w:rsidTr="004F46E4">
        <w:trPr>
          <w:trHeight w:val="306"/>
        </w:trPr>
        <w:tc>
          <w:tcPr>
            <w:tcW w:w="2579" w:type="dxa"/>
            <w:tcBorders>
              <w:top w:val="nil"/>
              <w:left w:val="single" w:sz="8" w:space="0" w:color="auto"/>
              <w:bottom w:val="single" w:sz="8" w:space="0" w:color="auto"/>
              <w:right w:val="single" w:sz="8" w:space="0" w:color="auto"/>
            </w:tcBorders>
            <w:shd w:val="clear" w:color="auto" w:fill="auto"/>
            <w:vAlign w:val="center"/>
            <w:hideMark/>
          </w:tcPr>
          <w:p w14:paraId="3C8F69A0" w14:textId="77777777" w:rsidR="00702C8A" w:rsidRPr="00702C8A" w:rsidRDefault="00702C8A" w:rsidP="00702C8A">
            <w:pPr>
              <w:jc w:val="both"/>
              <w:rPr>
                <w:rFonts w:cs="Arial"/>
                <w:szCs w:val="24"/>
                <w:lang w:eastAsia="en-GB"/>
              </w:rPr>
            </w:pPr>
            <w:r w:rsidRPr="00702C8A">
              <w:rPr>
                <w:rFonts w:cs="Arial"/>
                <w:szCs w:val="24"/>
                <w:lang w:eastAsia="en-GB"/>
              </w:rPr>
              <w:t>Regeneration</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4D3ED80" w14:textId="77777777" w:rsidR="00702C8A" w:rsidRPr="00702C8A" w:rsidRDefault="00702C8A" w:rsidP="00702C8A">
            <w:pPr>
              <w:jc w:val="center"/>
              <w:rPr>
                <w:rFonts w:cs="Arial"/>
                <w:color w:val="000000"/>
                <w:sz w:val="22"/>
                <w:szCs w:val="22"/>
                <w:lang w:eastAsia="en-GB"/>
              </w:rPr>
            </w:pPr>
            <w:r w:rsidRPr="00702C8A">
              <w:rPr>
                <w:rFonts w:cs="Arial"/>
                <w:color w:val="000000"/>
                <w:sz w:val="22"/>
                <w:szCs w:val="24"/>
                <w:lang w:eastAsia="en-GB"/>
              </w:rPr>
              <w:t>505</w:t>
            </w:r>
          </w:p>
        </w:tc>
        <w:tc>
          <w:tcPr>
            <w:tcW w:w="1776" w:type="dxa"/>
            <w:tcBorders>
              <w:top w:val="nil"/>
              <w:left w:val="nil"/>
              <w:bottom w:val="single" w:sz="4" w:space="0" w:color="auto"/>
              <w:right w:val="single" w:sz="4" w:space="0" w:color="auto"/>
            </w:tcBorders>
            <w:shd w:val="clear" w:color="auto" w:fill="auto"/>
            <w:noWrap/>
            <w:vAlign w:val="bottom"/>
            <w:hideMark/>
          </w:tcPr>
          <w:p w14:paraId="314B2131" w14:textId="77777777" w:rsidR="00702C8A" w:rsidRPr="00702C8A" w:rsidRDefault="00702C8A" w:rsidP="00702C8A">
            <w:pPr>
              <w:jc w:val="center"/>
              <w:rPr>
                <w:rFonts w:cs="Arial"/>
                <w:color w:val="000000"/>
                <w:sz w:val="22"/>
                <w:szCs w:val="22"/>
                <w:lang w:eastAsia="en-GB"/>
              </w:rPr>
            </w:pPr>
            <w:r w:rsidRPr="00702C8A">
              <w:rPr>
                <w:rFonts w:cs="Arial"/>
                <w:color w:val="000000"/>
                <w:sz w:val="22"/>
                <w:szCs w:val="24"/>
                <w:lang w:eastAsia="en-GB"/>
              </w:rPr>
              <w:t>505</w:t>
            </w:r>
          </w:p>
        </w:tc>
        <w:tc>
          <w:tcPr>
            <w:tcW w:w="1964" w:type="dxa"/>
            <w:tcBorders>
              <w:top w:val="nil"/>
              <w:left w:val="nil"/>
              <w:bottom w:val="single" w:sz="4" w:space="0" w:color="auto"/>
              <w:right w:val="single" w:sz="4" w:space="0" w:color="auto"/>
            </w:tcBorders>
            <w:shd w:val="clear" w:color="auto" w:fill="auto"/>
            <w:noWrap/>
            <w:vAlign w:val="bottom"/>
            <w:hideMark/>
          </w:tcPr>
          <w:p w14:paraId="2A45188A" w14:textId="77777777" w:rsidR="00702C8A" w:rsidRPr="00702C8A" w:rsidRDefault="00702C8A" w:rsidP="00702C8A">
            <w:pPr>
              <w:jc w:val="center"/>
              <w:rPr>
                <w:rFonts w:cs="Arial"/>
                <w:color w:val="000000"/>
                <w:sz w:val="22"/>
                <w:szCs w:val="22"/>
                <w:lang w:eastAsia="en-GB"/>
              </w:rPr>
            </w:pPr>
            <w:r w:rsidRPr="00702C8A">
              <w:rPr>
                <w:rFonts w:cs="Arial"/>
                <w:color w:val="000000"/>
                <w:sz w:val="22"/>
                <w:szCs w:val="24"/>
                <w:lang w:eastAsia="en-GB"/>
              </w:rPr>
              <w:t>-</w:t>
            </w:r>
          </w:p>
        </w:tc>
      </w:tr>
      <w:tr w:rsidR="00702C8A" w:rsidRPr="00702C8A" w14:paraId="18C468B3" w14:textId="77777777" w:rsidTr="004F46E4">
        <w:trPr>
          <w:trHeight w:val="306"/>
        </w:trPr>
        <w:tc>
          <w:tcPr>
            <w:tcW w:w="2579" w:type="dxa"/>
            <w:tcBorders>
              <w:top w:val="nil"/>
              <w:left w:val="single" w:sz="8" w:space="0" w:color="auto"/>
              <w:bottom w:val="nil"/>
              <w:right w:val="single" w:sz="8" w:space="0" w:color="auto"/>
            </w:tcBorders>
            <w:shd w:val="clear" w:color="auto" w:fill="auto"/>
            <w:vAlign w:val="center"/>
            <w:hideMark/>
          </w:tcPr>
          <w:p w14:paraId="06CD39E6" w14:textId="77777777" w:rsidR="00702C8A" w:rsidRPr="00702C8A" w:rsidRDefault="00702C8A" w:rsidP="00702C8A">
            <w:pPr>
              <w:jc w:val="both"/>
              <w:rPr>
                <w:rFonts w:cs="Arial"/>
                <w:szCs w:val="24"/>
                <w:lang w:eastAsia="en-GB"/>
              </w:rPr>
            </w:pPr>
            <w:r w:rsidRPr="00702C8A">
              <w:rPr>
                <w:rFonts w:cs="Arial"/>
                <w:szCs w:val="24"/>
                <w:lang w:eastAsia="en-GB"/>
              </w:rPr>
              <w:t>One-off in year  mitigation</w:t>
            </w:r>
          </w:p>
        </w:tc>
        <w:tc>
          <w:tcPr>
            <w:tcW w:w="1843" w:type="dxa"/>
            <w:tcBorders>
              <w:top w:val="nil"/>
              <w:left w:val="single" w:sz="4" w:space="0" w:color="auto"/>
              <w:bottom w:val="nil"/>
              <w:right w:val="single" w:sz="4" w:space="0" w:color="auto"/>
            </w:tcBorders>
            <w:shd w:val="clear" w:color="auto" w:fill="auto"/>
            <w:noWrap/>
            <w:vAlign w:val="bottom"/>
            <w:hideMark/>
          </w:tcPr>
          <w:p w14:paraId="0A32D8FE" w14:textId="77777777" w:rsidR="00702C8A" w:rsidRPr="00702C8A" w:rsidRDefault="00702C8A" w:rsidP="00702C8A">
            <w:pPr>
              <w:jc w:val="center"/>
              <w:rPr>
                <w:rFonts w:cs="Arial"/>
                <w:color w:val="000000"/>
                <w:sz w:val="22"/>
                <w:szCs w:val="22"/>
                <w:lang w:eastAsia="en-GB"/>
              </w:rPr>
            </w:pPr>
            <w:r w:rsidRPr="00702C8A">
              <w:rPr>
                <w:rFonts w:cs="Arial"/>
                <w:color w:val="FF0000"/>
                <w:sz w:val="22"/>
                <w:szCs w:val="24"/>
                <w:lang w:eastAsia="en-GB"/>
              </w:rPr>
              <w:t>(222)</w:t>
            </w:r>
          </w:p>
        </w:tc>
        <w:tc>
          <w:tcPr>
            <w:tcW w:w="1776" w:type="dxa"/>
            <w:tcBorders>
              <w:top w:val="nil"/>
              <w:left w:val="nil"/>
              <w:bottom w:val="nil"/>
              <w:right w:val="single" w:sz="4" w:space="0" w:color="auto"/>
            </w:tcBorders>
            <w:shd w:val="clear" w:color="auto" w:fill="auto"/>
            <w:noWrap/>
            <w:vAlign w:val="bottom"/>
            <w:hideMark/>
          </w:tcPr>
          <w:p w14:paraId="5BBB30BC" w14:textId="77777777" w:rsidR="00702C8A" w:rsidRPr="00702C8A" w:rsidRDefault="00702C8A" w:rsidP="00702C8A">
            <w:pPr>
              <w:jc w:val="center"/>
              <w:rPr>
                <w:rFonts w:cs="Arial"/>
                <w:color w:val="000000"/>
                <w:sz w:val="22"/>
                <w:szCs w:val="22"/>
                <w:lang w:eastAsia="en-GB"/>
              </w:rPr>
            </w:pPr>
            <w:r w:rsidRPr="00702C8A">
              <w:rPr>
                <w:rFonts w:cs="Arial"/>
                <w:color w:val="FF0000"/>
                <w:sz w:val="22"/>
                <w:szCs w:val="24"/>
                <w:lang w:eastAsia="en-GB"/>
              </w:rPr>
              <w:t>(222)</w:t>
            </w:r>
          </w:p>
        </w:tc>
        <w:tc>
          <w:tcPr>
            <w:tcW w:w="1964" w:type="dxa"/>
            <w:tcBorders>
              <w:top w:val="nil"/>
              <w:left w:val="nil"/>
              <w:bottom w:val="nil"/>
              <w:right w:val="single" w:sz="4" w:space="0" w:color="auto"/>
            </w:tcBorders>
            <w:shd w:val="clear" w:color="auto" w:fill="auto"/>
            <w:noWrap/>
            <w:vAlign w:val="bottom"/>
            <w:hideMark/>
          </w:tcPr>
          <w:p w14:paraId="3749796F" w14:textId="77777777" w:rsidR="00702C8A" w:rsidRPr="00702C8A" w:rsidRDefault="00702C8A" w:rsidP="00702C8A">
            <w:pPr>
              <w:jc w:val="center"/>
              <w:rPr>
                <w:rFonts w:cs="Arial"/>
                <w:color w:val="000000"/>
                <w:sz w:val="22"/>
                <w:szCs w:val="22"/>
                <w:lang w:eastAsia="en-GB"/>
              </w:rPr>
            </w:pPr>
            <w:r w:rsidRPr="00702C8A">
              <w:rPr>
                <w:rFonts w:cs="Arial"/>
                <w:color w:val="000000"/>
                <w:sz w:val="22"/>
                <w:szCs w:val="24"/>
                <w:lang w:eastAsia="en-GB"/>
              </w:rPr>
              <w:t>-</w:t>
            </w:r>
          </w:p>
        </w:tc>
      </w:tr>
      <w:tr w:rsidR="00702C8A" w:rsidRPr="00702C8A" w14:paraId="2DBC0876" w14:textId="77777777" w:rsidTr="004F46E4">
        <w:trPr>
          <w:trHeight w:val="248"/>
        </w:trPr>
        <w:tc>
          <w:tcPr>
            <w:tcW w:w="2579"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1F1588B" w14:textId="77777777" w:rsidR="00702C8A" w:rsidRPr="00702C8A" w:rsidRDefault="00702C8A" w:rsidP="00702C8A">
            <w:pPr>
              <w:jc w:val="both"/>
              <w:rPr>
                <w:rFonts w:cs="Arial"/>
                <w:szCs w:val="24"/>
                <w:lang w:eastAsia="en-GB"/>
              </w:rPr>
            </w:pPr>
            <w:r w:rsidRPr="00702C8A">
              <w:rPr>
                <w:rFonts w:cs="Arial"/>
                <w:szCs w:val="24"/>
                <w:lang w:eastAsia="en-GB"/>
              </w:rPr>
              <w:t>Total</w:t>
            </w:r>
          </w:p>
        </w:tc>
        <w:tc>
          <w:tcPr>
            <w:tcW w:w="1843"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14:paraId="62DEAB34" w14:textId="77777777" w:rsidR="00702C8A" w:rsidRPr="00702C8A" w:rsidRDefault="00702C8A" w:rsidP="00702C8A">
            <w:pPr>
              <w:jc w:val="center"/>
              <w:rPr>
                <w:rFonts w:cs="Arial"/>
                <w:color w:val="000000"/>
                <w:sz w:val="22"/>
                <w:szCs w:val="22"/>
                <w:lang w:eastAsia="en-GB"/>
              </w:rPr>
            </w:pPr>
            <w:r w:rsidRPr="00702C8A">
              <w:rPr>
                <w:rFonts w:cs="Arial"/>
                <w:color w:val="000000"/>
                <w:sz w:val="22"/>
                <w:szCs w:val="24"/>
                <w:lang w:eastAsia="en-GB"/>
              </w:rPr>
              <w:t>345</w:t>
            </w:r>
          </w:p>
        </w:tc>
        <w:tc>
          <w:tcPr>
            <w:tcW w:w="1776" w:type="dxa"/>
            <w:tcBorders>
              <w:top w:val="single" w:sz="8" w:space="0" w:color="auto"/>
              <w:left w:val="nil"/>
              <w:bottom w:val="double" w:sz="6" w:space="0" w:color="auto"/>
              <w:right w:val="single" w:sz="4" w:space="0" w:color="auto"/>
            </w:tcBorders>
            <w:shd w:val="clear" w:color="auto" w:fill="auto"/>
            <w:noWrap/>
            <w:vAlign w:val="bottom"/>
            <w:hideMark/>
          </w:tcPr>
          <w:p w14:paraId="135ADA83" w14:textId="77777777" w:rsidR="00702C8A" w:rsidRPr="00702C8A" w:rsidRDefault="00702C8A" w:rsidP="00702C8A">
            <w:pPr>
              <w:jc w:val="center"/>
              <w:rPr>
                <w:rFonts w:cs="Arial"/>
                <w:color w:val="000000"/>
                <w:sz w:val="22"/>
                <w:szCs w:val="22"/>
                <w:lang w:eastAsia="en-GB"/>
              </w:rPr>
            </w:pPr>
            <w:r w:rsidRPr="00702C8A">
              <w:rPr>
                <w:rFonts w:cs="Arial"/>
                <w:color w:val="000000"/>
                <w:sz w:val="22"/>
                <w:szCs w:val="24"/>
                <w:lang w:eastAsia="en-GB"/>
              </w:rPr>
              <w:t>345</w:t>
            </w:r>
          </w:p>
        </w:tc>
        <w:tc>
          <w:tcPr>
            <w:tcW w:w="1964" w:type="dxa"/>
            <w:tcBorders>
              <w:top w:val="single" w:sz="8" w:space="0" w:color="auto"/>
              <w:left w:val="nil"/>
              <w:bottom w:val="double" w:sz="6" w:space="0" w:color="auto"/>
              <w:right w:val="single" w:sz="8" w:space="0" w:color="auto"/>
            </w:tcBorders>
            <w:shd w:val="clear" w:color="auto" w:fill="auto"/>
            <w:noWrap/>
            <w:vAlign w:val="bottom"/>
            <w:hideMark/>
          </w:tcPr>
          <w:p w14:paraId="1F7D874B" w14:textId="77777777" w:rsidR="00702C8A" w:rsidRPr="00702C8A" w:rsidRDefault="00702C8A" w:rsidP="00702C8A">
            <w:pPr>
              <w:jc w:val="center"/>
              <w:rPr>
                <w:rFonts w:cs="Arial"/>
                <w:color w:val="000000"/>
                <w:sz w:val="22"/>
                <w:szCs w:val="22"/>
                <w:lang w:eastAsia="en-GB"/>
              </w:rPr>
            </w:pPr>
            <w:r w:rsidRPr="00702C8A">
              <w:rPr>
                <w:rFonts w:cs="Arial"/>
                <w:color w:val="000000"/>
                <w:sz w:val="22"/>
                <w:szCs w:val="24"/>
                <w:lang w:eastAsia="en-GB"/>
              </w:rPr>
              <w:t>-</w:t>
            </w:r>
          </w:p>
        </w:tc>
      </w:tr>
    </w:tbl>
    <w:p w14:paraId="5E55172C" w14:textId="22556564" w:rsidR="00AE3ADC" w:rsidRDefault="00AE3ADC" w:rsidP="00F650D7">
      <w:pPr>
        <w:ind w:left="644" w:hanging="644"/>
        <w:jc w:val="both"/>
      </w:pPr>
    </w:p>
    <w:p w14:paraId="0166D751" w14:textId="56A2120B" w:rsidR="006A0E09" w:rsidRDefault="00D75981" w:rsidP="00F67A46">
      <w:pPr>
        <w:pStyle w:val="ListParagraph"/>
        <w:numPr>
          <w:ilvl w:val="1"/>
          <w:numId w:val="16"/>
        </w:numPr>
        <w:spacing w:after="120"/>
        <w:ind w:left="709" w:hanging="709"/>
        <w:jc w:val="both"/>
        <w:rPr>
          <w:b/>
          <w:u w:val="single"/>
        </w:rPr>
      </w:pPr>
      <w:r>
        <w:rPr>
          <w:rFonts w:cs="Arial"/>
          <w:szCs w:val="24"/>
        </w:rPr>
        <w:t>At Quarter 3</w:t>
      </w:r>
      <w:r w:rsidR="006D10D2" w:rsidRPr="00690DE0">
        <w:rPr>
          <w:rFonts w:cs="Arial"/>
          <w:szCs w:val="24"/>
        </w:rPr>
        <w:t xml:space="preserve">, Regeneration, Enterprise &amp; Planning </w:t>
      </w:r>
      <w:r w:rsidR="009B78EE">
        <w:rPr>
          <w:rFonts w:cs="Arial"/>
          <w:szCs w:val="24"/>
        </w:rPr>
        <w:t>are reporting an over</w:t>
      </w:r>
      <w:r w:rsidR="00DD6AC4" w:rsidRPr="00DD6AC4">
        <w:rPr>
          <w:rFonts w:cs="Arial"/>
          <w:szCs w:val="24"/>
        </w:rPr>
        <w:t>spend of £0.345m [33.2%] over the total net controllable budget</w:t>
      </w:r>
      <w:r w:rsidR="00DD6AC4">
        <w:rPr>
          <w:rFonts w:cs="Arial"/>
          <w:szCs w:val="24"/>
        </w:rPr>
        <w:t>.</w:t>
      </w:r>
      <w:bookmarkStart w:id="4" w:name="_Toc372706222"/>
      <w:r>
        <w:rPr>
          <w:rFonts w:cs="Arial"/>
          <w:szCs w:val="24"/>
        </w:rPr>
        <w:t xml:space="preserve"> This is broadly in line with what was reported in Quarter 2.</w:t>
      </w:r>
      <w:r w:rsidR="00DB69D1" w:rsidRPr="00690DE0">
        <w:rPr>
          <w:b/>
          <w:u w:val="single"/>
        </w:rPr>
        <w:t xml:space="preserve"> </w:t>
      </w:r>
    </w:p>
    <w:p w14:paraId="1A812E6C" w14:textId="34A39C93" w:rsidR="00DC128E" w:rsidRDefault="009B78EE" w:rsidP="001F1E67">
      <w:pPr>
        <w:pStyle w:val="ListParagraph"/>
        <w:numPr>
          <w:ilvl w:val="1"/>
          <w:numId w:val="16"/>
        </w:numPr>
        <w:spacing w:after="120"/>
        <w:ind w:left="709" w:hanging="709"/>
        <w:jc w:val="both"/>
        <w:rPr>
          <w:rFonts w:cs="Arial"/>
          <w:szCs w:val="24"/>
        </w:rPr>
      </w:pPr>
      <w:r>
        <w:rPr>
          <w:rFonts w:cs="Arial"/>
          <w:szCs w:val="24"/>
        </w:rPr>
        <w:t>The over</w:t>
      </w:r>
      <w:r w:rsidR="00DC128E" w:rsidRPr="00DC128E">
        <w:rPr>
          <w:rFonts w:cs="Arial"/>
          <w:szCs w:val="24"/>
        </w:rPr>
        <w:t xml:space="preserve">spend relates in the main to the revenue costs of regeneration activity.  A review of estimated expenditure against the Council's Capitalisation Guidance indicates revenue expenditure not qualifying as capital to be </w:t>
      </w:r>
      <w:r w:rsidR="00DC128E" w:rsidRPr="009C512C">
        <w:rPr>
          <w:rFonts w:cs="Arial"/>
          <w:b/>
          <w:szCs w:val="24"/>
        </w:rPr>
        <w:t>£50</w:t>
      </w:r>
      <w:r w:rsidR="00DD6AC4" w:rsidRPr="009C512C">
        <w:rPr>
          <w:rFonts w:cs="Arial"/>
          <w:b/>
          <w:szCs w:val="24"/>
        </w:rPr>
        <w:t>5k</w:t>
      </w:r>
      <w:r w:rsidR="00D75981">
        <w:rPr>
          <w:rFonts w:cs="Arial"/>
          <w:szCs w:val="24"/>
        </w:rPr>
        <w:t xml:space="preserve"> based on estimates at quarter 3</w:t>
      </w:r>
      <w:r w:rsidR="00DD6AC4">
        <w:rPr>
          <w:rFonts w:cs="Arial"/>
          <w:szCs w:val="24"/>
        </w:rPr>
        <w:t xml:space="preserve">. </w:t>
      </w:r>
      <w:r w:rsidR="00DC128E" w:rsidRPr="00DC128E">
        <w:rPr>
          <w:rFonts w:cs="Arial"/>
          <w:szCs w:val="24"/>
        </w:rPr>
        <w:t>The pressure is made up of £385k staffing costs, £116k community engagement &amp; communications, £43k planning policy implementation and £89k consultant and other costs. In addition, an estimated £128k New Homes Bonus will be drawn to offset this expenditure.</w:t>
      </w:r>
      <w:r w:rsidR="00F04E04">
        <w:rPr>
          <w:rFonts w:cs="Arial"/>
          <w:szCs w:val="24"/>
        </w:rPr>
        <w:t xml:space="preserve"> The £</w:t>
      </w:r>
      <w:r w:rsidR="00027425">
        <w:rPr>
          <w:rFonts w:cs="Arial"/>
          <w:szCs w:val="24"/>
        </w:rPr>
        <w:t>0.</w:t>
      </w:r>
      <w:r w:rsidR="00F04E04">
        <w:rPr>
          <w:rFonts w:cs="Arial"/>
          <w:szCs w:val="24"/>
        </w:rPr>
        <w:t>505</w:t>
      </w:r>
      <w:r w:rsidR="00027425">
        <w:rPr>
          <w:rFonts w:cs="Arial"/>
          <w:szCs w:val="24"/>
        </w:rPr>
        <w:t>m</w:t>
      </w:r>
      <w:r w:rsidR="00F04E04">
        <w:rPr>
          <w:rFonts w:cs="Arial"/>
          <w:szCs w:val="24"/>
        </w:rPr>
        <w:t xml:space="preserve"> pressure above is mitigated</w:t>
      </w:r>
      <w:r w:rsidR="00673E50">
        <w:rPr>
          <w:rFonts w:cs="Arial"/>
          <w:szCs w:val="24"/>
        </w:rPr>
        <w:t xml:space="preserve"> from </w:t>
      </w:r>
      <w:r w:rsidR="00F04E04">
        <w:rPr>
          <w:rFonts w:cs="Arial"/>
          <w:szCs w:val="24"/>
        </w:rPr>
        <w:t>the £1.36m</w:t>
      </w:r>
      <w:r w:rsidR="00027425">
        <w:rPr>
          <w:rFonts w:cs="Arial"/>
          <w:szCs w:val="24"/>
        </w:rPr>
        <w:t xml:space="preserve"> underspends within the corporate budget.</w:t>
      </w:r>
    </w:p>
    <w:p w14:paraId="5B034447" w14:textId="106AF756" w:rsidR="00DD6AC4" w:rsidRDefault="00DD6AC4" w:rsidP="001F1E67">
      <w:pPr>
        <w:pStyle w:val="ListParagraph"/>
        <w:numPr>
          <w:ilvl w:val="1"/>
          <w:numId w:val="16"/>
        </w:numPr>
        <w:spacing w:after="120"/>
        <w:ind w:left="709" w:hanging="709"/>
        <w:jc w:val="both"/>
        <w:rPr>
          <w:rFonts w:cs="Arial"/>
          <w:szCs w:val="24"/>
        </w:rPr>
      </w:pPr>
      <w:r w:rsidRPr="00DD6AC4">
        <w:rPr>
          <w:rFonts w:cs="Arial"/>
          <w:szCs w:val="24"/>
        </w:rPr>
        <w:t xml:space="preserve">Planning </w:t>
      </w:r>
      <w:r w:rsidR="00027425">
        <w:rPr>
          <w:rFonts w:cs="Arial"/>
          <w:szCs w:val="24"/>
        </w:rPr>
        <w:t xml:space="preserve">are </w:t>
      </w:r>
      <w:r w:rsidRPr="00DD6AC4">
        <w:rPr>
          <w:rFonts w:cs="Arial"/>
          <w:szCs w:val="24"/>
        </w:rPr>
        <w:t>report</w:t>
      </w:r>
      <w:r w:rsidR="00027425">
        <w:rPr>
          <w:rFonts w:cs="Arial"/>
          <w:szCs w:val="24"/>
        </w:rPr>
        <w:t>ing</w:t>
      </w:r>
      <w:r w:rsidRPr="00DD6AC4">
        <w:rPr>
          <w:rFonts w:cs="Arial"/>
          <w:szCs w:val="24"/>
        </w:rPr>
        <w:t xml:space="preserve"> a</w:t>
      </w:r>
      <w:r w:rsidR="009B78EE">
        <w:rPr>
          <w:rFonts w:cs="Arial"/>
          <w:szCs w:val="24"/>
        </w:rPr>
        <w:t>n over</w:t>
      </w:r>
      <w:r>
        <w:rPr>
          <w:rFonts w:cs="Arial"/>
          <w:szCs w:val="24"/>
        </w:rPr>
        <w:t xml:space="preserve">spend of </w:t>
      </w:r>
      <w:r w:rsidRPr="007475D5">
        <w:rPr>
          <w:rFonts w:cs="Arial"/>
          <w:b/>
          <w:szCs w:val="24"/>
        </w:rPr>
        <w:t>£68k</w:t>
      </w:r>
      <w:r>
        <w:rPr>
          <w:rFonts w:cs="Arial"/>
          <w:szCs w:val="24"/>
        </w:rPr>
        <w:t xml:space="preserve"> at quarter </w:t>
      </w:r>
      <w:r w:rsidR="00D75981">
        <w:rPr>
          <w:rFonts w:cs="Arial"/>
          <w:szCs w:val="24"/>
        </w:rPr>
        <w:t>3</w:t>
      </w:r>
      <w:r w:rsidR="007475D5">
        <w:rPr>
          <w:rFonts w:cs="Arial"/>
          <w:szCs w:val="24"/>
        </w:rPr>
        <w:t xml:space="preserve">, </w:t>
      </w:r>
      <w:r w:rsidRPr="00DD6AC4">
        <w:rPr>
          <w:rFonts w:cs="Arial"/>
          <w:szCs w:val="24"/>
        </w:rPr>
        <w:t xml:space="preserve">The increase relates to </w:t>
      </w:r>
      <w:r w:rsidRPr="007475D5">
        <w:rPr>
          <w:rFonts w:cs="Arial"/>
          <w:szCs w:val="24"/>
        </w:rPr>
        <w:t>£26k</w:t>
      </w:r>
      <w:r w:rsidRPr="00DD6AC4">
        <w:rPr>
          <w:rFonts w:cs="Arial"/>
          <w:szCs w:val="24"/>
        </w:rPr>
        <w:t xml:space="preserve"> forecast public inquiry costs in relation to </w:t>
      </w:r>
      <w:r w:rsidR="00027425">
        <w:rPr>
          <w:rFonts w:cs="Arial"/>
          <w:szCs w:val="24"/>
        </w:rPr>
        <w:t xml:space="preserve">a </w:t>
      </w:r>
      <w:r w:rsidRPr="00DD6AC4">
        <w:rPr>
          <w:rFonts w:cs="Arial"/>
          <w:szCs w:val="24"/>
        </w:rPr>
        <w:t>John Lyon</w:t>
      </w:r>
      <w:r w:rsidR="00027425">
        <w:rPr>
          <w:rFonts w:cs="Arial"/>
          <w:szCs w:val="24"/>
        </w:rPr>
        <w:t>’s</w:t>
      </w:r>
      <w:r w:rsidRPr="00DD6AC4">
        <w:rPr>
          <w:rFonts w:cs="Arial"/>
          <w:szCs w:val="24"/>
        </w:rPr>
        <w:t xml:space="preserve"> s106 application coupled with a forecast under recovery of building control income </w:t>
      </w:r>
      <w:r w:rsidR="00027425">
        <w:rPr>
          <w:rFonts w:cs="Arial"/>
          <w:szCs w:val="24"/>
        </w:rPr>
        <w:t xml:space="preserve">of </w:t>
      </w:r>
      <w:r w:rsidRPr="00DD6AC4">
        <w:rPr>
          <w:rFonts w:cs="Arial"/>
          <w:szCs w:val="24"/>
        </w:rPr>
        <w:t>£43k mainly as a result of the delayed introduction of increased building control fees</w:t>
      </w:r>
      <w:r>
        <w:rPr>
          <w:rFonts w:cs="Arial"/>
          <w:szCs w:val="24"/>
        </w:rPr>
        <w:t>.</w:t>
      </w:r>
    </w:p>
    <w:p w14:paraId="36C06C3F" w14:textId="1E1D71F7" w:rsidR="00DD6AC4" w:rsidRPr="00DC128E" w:rsidRDefault="00027425" w:rsidP="00615AE4">
      <w:pPr>
        <w:pStyle w:val="ListParagraph"/>
        <w:numPr>
          <w:ilvl w:val="1"/>
          <w:numId w:val="16"/>
        </w:numPr>
        <w:tabs>
          <w:tab w:val="left" w:pos="567"/>
        </w:tabs>
        <w:spacing w:after="240"/>
        <w:ind w:left="709" w:hanging="709"/>
        <w:jc w:val="both"/>
        <w:rPr>
          <w:rFonts w:cs="Arial"/>
          <w:szCs w:val="24"/>
        </w:rPr>
      </w:pPr>
      <w:r w:rsidRPr="009C512C">
        <w:rPr>
          <w:rFonts w:cs="Arial"/>
          <w:b/>
          <w:szCs w:val="24"/>
        </w:rPr>
        <w:t xml:space="preserve"> </w:t>
      </w:r>
      <w:r w:rsidR="009C512C" w:rsidRPr="009C512C">
        <w:rPr>
          <w:rFonts w:cs="Arial"/>
          <w:b/>
          <w:szCs w:val="24"/>
        </w:rPr>
        <w:t>(</w:t>
      </w:r>
      <w:r w:rsidR="00DD6AC4" w:rsidRPr="009C512C">
        <w:rPr>
          <w:rFonts w:cs="Arial"/>
          <w:b/>
          <w:szCs w:val="24"/>
        </w:rPr>
        <w:t>£222k</w:t>
      </w:r>
      <w:r w:rsidR="009C512C">
        <w:rPr>
          <w:rFonts w:cs="Arial"/>
          <w:szCs w:val="24"/>
        </w:rPr>
        <w:t>)</w:t>
      </w:r>
      <w:r w:rsidR="00DD6AC4" w:rsidRPr="00DD6AC4">
        <w:rPr>
          <w:rFonts w:cs="Arial"/>
          <w:szCs w:val="24"/>
        </w:rPr>
        <w:t xml:space="preserve"> one off in year savings has been identified as part of the spending protocol. The directorate is currently on track of delivering these cost reductions / additional income</w:t>
      </w:r>
      <w:r w:rsidR="00DD6AC4">
        <w:rPr>
          <w:rFonts w:cs="Arial"/>
          <w:szCs w:val="24"/>
        </w:rPr>
        <w:t>.</w:t>
      </w:r>
    </w:p>
    <w:p w14:paraId="615EFA38" w14:textId="77777777" w:rsidR="006A0E09" w:rsidRDefault="006A0E09" w:rsidP="00F650D7">
      <w:pPr>
        <w:ind w:left="360" w:hanging="360"/>
        <w:jc w:val="both"/>
        <w:rPr>
          <w:b/>
          <w:u w:val="single"/>
        </w:rPr>
      </w:pPr>
    </w:p>
    <w:p w14:paraId="13B20E3D" w14:textId="77777777" w:rsidR="007A2234" w:rsidRDefault="007A2234" w:rsidP="00F650D7">
      <w:pPr>
        <w:ind w:left="360" w:hanging="360"/>
        <w:jc w:val="both"/>
        <w:rPr>
          <w:b/>
          <w:u w:val="single"/>
        </w:rPr>
      </w:pPr>
      <w:r w:rsidRPr="008A73C4">
        <w:rPr>
          <w:b/>
          <w:u w:val="single"/>
        </w:rPr>
        <w:t>CORPORATE BUDGETS</w:t>
      </w:r>
      <w:bookmarkEnd w:id="4"/>
    </w:p>
    <w:p w14:paraId="30D8FB93" w14:textId="77777777" w:rsidR="000652E0" w:rsidRPr="008A73C4" w:rsidRDefault="000652E0" w:rsidP="00F650D7">
      <w:pPr>
        <w:ind w:left="360" w:hanging="360"/>
        <w:jc w:val="both"/>
        <w:rPr>
          <w:u w:val="single"/>
        </w:rPr>
      </w:pPr>
    </w:p>
    <w:p w14:paraId="372FCA2B" w14:textId="576BB47B" w:rsidR="004A2B66" w:rsidRDefault="00A92E5B" w:rsidP="005E553E">
      <w:pPr>
        <w:pStyle w:val="ListParagraph"/>
        <w:numPr>
          <w:ilvl w:val="1"/>
          <w:numId w:val="16"/>
        </w:numPr>
        <w:spacing w:after="240"/>
        <w:ind w:left="709" w:hanging="709"/>
        <w:jc w:val="both"/>
      </w:pPr>
      <w:r w:rsidRPr="00A92E5B">
        <w:t xml:space="preserve">Corporate budgets are </w:t>
      </w:r>
      <w:r w:rsidR="00D75981">
        <w:t>forecast to underspend by £1.353</w:t>
      </w:r>
      <w:r w:rsidRPr="00A92E5B">
        <w:t>m</w:t>
      </w:r>
      <w:r w:rsidR="005E553E">
        <w:t xml:space="preserve"> in Quarter 3</w:t>
      </w:r>
      <w:r w:rsidR="00D75981">
        <w:t xml:space="preserve">.  This is broadly in line with what was reported in Quarter 2. Of the above underspends, </w:t>
      </w:r>
      <w:r w:rsidR="006A3AF7">
        <w:rPr>
          <w:b/>
        </w:rPr>
        <w:t>£59</w:t>
      </w:r>
      <w:r w:rsidR="00D75981" w:rsidRPr="005E553E">
        <w:rPr>
          <w:b/>
        </w:rPr>
        <w:t>5k</w:t>
      </w:r>
      <w:r w:rsidR="009B78EE">
        <w:t xml:space="preserve"> will be used to offset</w:t>
      </w:r>
      <w:r w:rsidR="00D75981">
        <w:t xml:space="preserve"> the Regeneration budget pressure in 2016/17 while the remaining </w:t>
      </w:r>
      <w:r w:rsidR="00D75981" w:rsidRPr="005E553E">
        <w:rPr>
          <w:b/>
        </w:rPr>
        <w:t>£</w:t>
      </w:r>
      <w:r w:rsidR="006A3AF7">
        <w:rPr>
          <w:b/>
        </w:rPr>
        <w:t>758</w:t>
      </w:r>
      <w:r w:rsidR="00E701F5" w:rsidRPr="005E553E">
        <w:rPr>
          <w:b/>
        </w:rPr>
        <w:t>k</w:t>
      </w:r>
      <w:r w:rsidR="00E701F5">
        <w:t xml:space="preserve"> will be used to mitigate </w:t>
      </w:r>
      <w:r w:rsidR="009D2E0D">
        <w:t>the D</w:t>
      </w:r>
      <w:r w:rsidR="00E701F5">
        <w:t>irectorate pressures.</w:t>
      </w:r>
    </w:p>
    <w:p w14:paraId="725E6884" w14:textId="118390F9" w:rsidR="007A2234" w:rsidRPr="00C22A38" w:rsidRDefault="0061014B" w:rsidP="00F650D7">
      <w:pPr>
        <w:pStyle w:val="Heading4"/>
        <w:spacing w:after="240"/>
        <w:ind w:firstLine="709"/>
        <w:jc w:val="both"/>
        <w:rPr>
          <w:b w:val="0"/>
          <w:u w:val="single"/>
        </w:rPr>
      </w:pPr>
      <w:r>
        <w:rPr>
          <w:b w:val="0"/>
          <w:u w:val="single"/>
        </w:rPr>
        <w:t>C</w:t>
      </w:r>
      <w:r w:rsidR="007A2234" w:rsidRPr="00C22A38">
        <w:rPr>
          <w:b w:val="0"/>
          <w:u w:val="single"/>
        </w:rPr>
        <w:t>ontingencies and Reserves</w:t>
      </w:r>
    </w:p>
    <w:p w14:paraId="2ADC7D80" w14:textId="77777777" w:rsidR="007A2234" w:rsidRDefault="007A2234" w:rsidP="008D06CF">
      <w:pPr>
        <w:pStyle w:val="Heading4"/>
        <w:ind w:firstLine="709"/>
        <w:jc w:val="both"/>
      </w:pPr>
      <w:r w:rsidRPr="00BE3735">
        <w:t>Central Contingency</w:t>
      </w:r>
    </w:p>
    <w:p w14:paraId="67C76067" w14:textId="77777777" w:rsidR="00EE65BB" w:rsidRPr="008B25B2" w:rsidRDefault="00EE65BB" w:rsidP="00F650D7">
      <w:pPr>
        <w:jc w:val="both"/>
      </w:pPr>
    </w:p>
    <w:p w14:paraId="66CA4581" w14:textId="77777777" w:rsidR="00824451" w:rsidRPr="009E22B0" w:rsidRDefault="007A2234" w:rsidP="00F650D7">
      <w:pPr>
        <w:pStyle w:val="ListParagraph"/>
        <w:numPr>
          <w:ilvl w:val="1"/>
          <w:numId w:val="16"/>
        </w:numPr>
        <w:spacing w:after="240"/>
        <w:ind w:left="709" w:hanging="709"/>
        <w:jc w:val="both"/>
        <w:rPr>
          <w:b/>
        </w:rPr>
      </w:pPr>
      <w:r w:rsidRPr="00BE3735">
        <w:t>The Central Contingency for unforeseen items in 2016</w:t>
      </w:r>
      <w:r w:rsidR="00950098">
        <w:t>/17</w:t>
      </w:r>
      <w:r w:rsidRPr="00BE3735">
        <w:t xml:space="preserve"> is £</w:t>
      </w:r>
      <w:r w:rsidR="00950098">
        <w:t>1.329</w:t>
      </w:r>
      <w:r w:rsidRPr="00BE3735">
        <w:t xml:space="preserve">m. </w:t>
      </w:r>
      <w:r w:rsidR="00EE65BB">
        <w:tab/>
      </w:r>
      <w:r w:rsidR="009F1CB6">
        <w:t xml:space="preserve">This will be used in full to mitigate directorate pressures. </w:t>
      </w:r>
      <w:r w:rsidRPr="00BE3735">
        <w:t xml:space="preserve"> </w:t>
      </w:r>
    </w:p>
    <w:p w14:paraId="78D949E4" w14:textId="77777777" w:rsidR="00827664" w:rsidRDefault="00741AEB" w:rsidP="008D06CF">
      <w:pPr>
        <w:pStyle w:val="Heading3"/>
        <w:ind w:left="0" w:firstLine="709"/>
        <w:rPr>
          <w:i w:val="0"/>
        </w:rPr>
      </w:pPr>
      <w:r w:rsidRPr="006B1DE1">
        <w:rPr>
          <w:i w:val="0"/>
        </w:rPr>
        <w:t>Contingencies and Reserves</w:t>
      </w:r>
      <w:r w:rsidR="00E63ECB">
        <w:rPr>
          <w:i w:val="0"/>
        </w:rPr>
        <w:tab/>
      </w:r>
    </w:p>
    <w:p w14:paraId="42F49C79" w14:textId="77777777" w:rsidR="00EE65BB" w:rsidRPr="009E22B0" w:rsidRDefault="00EE65BB" w:rsidP="00F650D7">
      <w:pPr>
        <w:jc w:val="both"/>
        <w:rPr>
          <w:i/>
        </w:rPr>
      </w:pPr>
    </w:p>
    <w:p w14:paraId="3D23B655" w14:textId="5BE5F322" w:rsidR="00741AEB" w:rsidRPr="00EE65BB" w:rsidRDefault="00741AEB" w:rsidP="001F1E67">
      <w:pPr>
        <w:pStyle w:val="ListParagraph"/>
        <w:numPr>
          <w:ilvl w:val="1"/>
          <w:numId w:val="16"/>
        </w:numPr>
        <w:spacing w:after="120"/>
        <w:ind w:left="709" w:hanging="709"/>
        <w:jc w:val="both"/>
        <w:rPr>
          <w:rFonts w:cs="Arial"/>
        </w:rPr>
      </w:pPr>
      <w:r w:rsidRPr="006B1DE1">
        <w:t xml:space="preserve">The contingencies are there to cover unavoidable </w:t>
      </w:r>
      <w:r w:rsidR="00A51DA2">
        <w:t xml:space="preserve">spending </w:t>
      </w:r>
      <w:r w:rsidRPr="006B1DE1">
        <w:t>pressures</w:t>
      </w:r>
      <w:r w:rsidR="008157BA" w:rsidRPr="006B1DE1">
        <w:t xml:space="preserve"> together</w:t>
      </w:r>
      <w:r w:rsidRPr="006B1DE1">
        <w:t xml:space="preserve"> with other unforeseen items</w:t>
      </w:r>
      <w:r w:rsidR="00182EFE">
        <w:t xml:space="preserve">, </w:t>
      </w:r>
      <w:r w:rsidRPr="006B1DE1">
        <w:t>areas of risk and uncertainty</w:t>
      </w:r>
      <w:r w:rsidR="002E2CEA">
        <w:t xml:space="preserve"> and unmitigated equalities implications</w:t>
      </w:r>
      <w:r w:rsidRPr="006B1DE1">
        <w:t xml:space="preserve">.  There are also </w:t>
      </w:r>
      <w:r w:rsidR="00E13D48">
        <w:t xml:space="preserve">a number of </w:t>
      </w:r>
      <w:r w:rsidRPr="006B1DE1">
        <w:t xml:space="preserve">specific reserves for </w:t>
      </w:r>
      <w:r w:rsidR="00E13D48">
        <w:t xml:space="preserve">a variety of purposes as identified in </w:t>
      </w:r>
      <w:r w:rsidR="00A51DA2">
        <w:t>table 2</w:t>
      </w:r>
      <w:r w:rsidR="00E13D48">
        <w:t xml:space="preserve"> below. </w:t>
      </w:r>
    </w:p>
    <w:p w14:paraId="1E16B5B2" w14:textId="1980E452" w:rsidR="00741AEB" w:rsidRDefault="00E13D48" w:rsidP="00F650D7">
      <w:pPr>
        <w:pStyle w:val="ListParagraph"/>
        <w:numPr>
          <w:ilvl w:val="1"/>
          <w:numId w:val="16"/>
        </w:numPr>
        <w:spacing w:after="240"/>
        <w:ind w:left="709" w:hanging="709"/>
        <w:jc w:val="both"/>
        <w:rPr>
          <w:rFonts w:cs="Arial"/>
        </w:rPr>
      </w:pPr>
      <w:r w:rsidRPr="000652E0">
        <w:rPr>
          <w:rFonts w:cs="Arial"/>
        </w:rPr>
        <w:t xml:space="preserve">The main changes </w:t>
      </w:r>
      <w:r w:rsidR="00DE5AED">
        <w:rPr>
          <w:rFonts w:cs="Arial"/>
        </w:rPr>
        <w:t xml:space="preserve">to these reserves </w:t>
      </w:r>
      <w:r w:rsidRPr="000652E0">
        <w:rPr>
          <w:rFonts w:cs="Arial"/>
        </w:rPr>
        <w:t>are</w:t>
      </w:r>
      <w:r w:rsidR="00C02C5E" w:rsidRPr="000652E0">
        <w:rPr>
          <w:rFonts w:cs="Arial"/>
        </w:rPr>
        <w:t xml:space="preserve"> the </w:t>
      </w:r>
      <w:r w:rsidR="00F63C15" w:rsidRPr="000652E0">
        <w:rPr>
          <w:rFonts w:cs="Arial"/>
        </w:rPr>
        <w:t>assumed drawdowns</w:t>
      </w:r>
      <w:r w:rsidRPr="000652E0">
        <w:rPr>
          <w:rFonts w:cs="Arial"/>
        </w:rPr>
        <w:t xml:space="preserve"> </w:t>
      </w:r>
      <w:r w:rsidR="00C02C5E" w:rsidRPr="000652E0">
        <w:rPr>
          <w:rFonts w:cs="Arial"/>
        </w:rPr>
        <w:t xml:space="preserve"> listed in the table below</w:t>
      </w:r>
      <w:r w:rsidR="00F77E61" w:rsidRPr="000652E0">
        <w:rPr>
          <w:rFonts w:cs="Arial"/>
        </w:rPr>
        <w:t>:</w:t>
      </w:r>
    </w:p>
    <w:p w14:paraId="74F4CD98" w14:textId="77777777" w:rsidR="008210B6" w:rsidRDefault="008210B6">
      <w:pPr>
        <w:rPr>
          <w:b/>
          <w:u w:val="single"/>
        </w:rPr>
      </w:pPr>
      <w:r>
        <w:rPr>
          <w:b/>
          <w:u w:val="single"/>
        </w:rPr>
        <w:br w:type="page"/>
      </w:r>
    </w:p>
    <w:p w14:paraId="684526D5" w14:textId="64DFB377" w:rsidR="00741AEB" w:rsidRDefault="00F67A46" w:rsidP="00F650D7">
      <w:pPr>
        <w:spacing w:after="240"/>
        <w:jc w:val="both"/>
        <w:rPr>
          <w:b/>
          <w:u w:val="single"/>
        </w:rPr>
      </w:pPr>
      <w:r>
        <w:rPr>
          <w:b/>
          <w:u w:val="single"/>
        </w:rPr>
        <w:lastRenderedPageBreak/>
        <w:t>T</w:t>
      </w:r>
      <w:r w:rsidR="00741AEB" w:rsidRPr="006B1DE1">
        <w:rPr>
          <w:b/>
          <w:u w:val="single"/>
        </w:rPr>
        <w:t xml:space="preserve">able </w:t>
      </w:r>
      <w:r w:rsidR="00027425">
        <w:rPr>
          <w:b/>
          <w:u w:val="single"/>
        </w:rPr>
        <w:t>7:</w:t>
      </w:r>
      <w:r w:rsidR="00A81CE0">
        <w:rPr>
          <w:b/>
          <w:u w:val="single"/>
        </w:rPr>
        <w:t xml:space="preserve"> </w:t>
      </w:r>
      <w:r w:rsidR="00741AEB" w:rsidRPr="006B1DE1">
        <w:rPr>
          <w:b/>
          <w:u w:val="single"/>
        </w:rPr>
        <w:t>Contingencies and Earmarked Reserves</w:t>
      </w:r>
    </w:p>
    <w:p w14:paraId="3FEFA9EC" w14:textId="649155D9" w:rsidR="00C219D6" w:rsidRDefault="00F13F91" w:rsidP="00741AEB">
      <w:pPr>
        <w:spacing w:after="240"/>
        <w:jc w:val="both"/>
        <w:rPr>
          <w:b/>
          <w:u w:val="single"/>
        </w:rPr>
      </w:pPr>
      <w:r w:rsidRPr="00F13F91">
        <w:rPr>
          <w:noProof/>
          <w:lang w:eastAsia="en-GB"/>
        </w:rPr>
        <w:drawing>
          <wp:inline distT="0" distB="0" distL="0" distR="0" wp14:anchorId="519FC9A6" wp14:editId="300F3229">
            <wp:extent cx="5622202" cy="266171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620" cy="2660497"/>
                    </a:xfrm>
                    <a:prstGeom prst="rect">
                      <a:avLst/>
                    </a:prstGeom>
                    <a:noFill/>
                    <a:ln>
                      <a:noFill/>
                    </a:ln>
                  </pic:spPr>
                </pic:pic>
              </a:graphicData>
            </a:graphic>
          </wp:inline>
        </w:drawing>
      </w:r>
    </w:p>
    <w:p w14:paraId="7F586743" w14:textId="77777777" w:rsidR="005C4CB8" w:rsidRDefault="005C4CB8" w:rsidP="00CE10BA">
      <w:pPr>
        <w:ind w:right="489" w:firstLine="720"/>
        <w:jc w:val="both"/>
        <w:rPr>
          <w:rFonts w:cs="Arial"/>
          <w:b/>
          <w:u w:val="single"/>
        </w:rPr>
      </w:pPr>
    </w:p>
    <w:p w14:paraId="2E40A8E8" w14:textId="77777777" w:rsidR="00F67A46" w:rsidRDefault="00F67A46" w:rsidP="008D06CF">
      <w:pPr>
        <w:ind w:firstLine="720"/>
        <w:jc w:val="both"/>
        <w:rPr>
          <w:rFonts w:cs="Arial"/>
          <w:b/>
          <w:u w:val="single"/>
        </w:rPr>
      </w:pPr>
    </w:p>
    <w:p w14:paraId="5CBED0B6" w14:textId="77777777" w:rsidR="00741AEB" w:rsidRDefault="00741AEB" w:rsidP="008D06CF">
      <w:pPr>
        <w:ind w:firstLine="720"/>
        <w:jc w:val="both"/>
        <w:rPr>
          <w:rFonts w:cs="Arial"/>
          <w:b/>
          <w:u w:val="single"/>
        </w:rPr>
      </w:pPr>
      <w:r w:rsidRPr="006B1DE1">
        <w:rPr>
          <w:rFonts w:cs="Arial"/>
          <w:b/>
          <w:u w:val="single"/>
        </w:rPr>
        <w:t xml:space="preserve">MTFS </w:t>
      </w:r>
      <w:r w:rsidR="00A81CE0">
        <w:rPr>
          <w:rFonts w:cs="Arial"/>
          <w:b/>
          <w:u w:val="single"/>
        </w:rPr>
        <w:t xml:space="preserve">SAVINGS </w:t>
      </w:r>
      <w:r w:rsidRPr="006B1DE1">
        <w:rPr>
          <w:rFonts w:cs="Arial"/>
          <w:b/>
          <w:u w:val="single"/>
        </w:rPr>
        <w:t>TRACKER</w:t>
      </w:r>
    </w:p>
    <w:p w14:paraId="1F59C922" w14:textId="77777777" w:rsidR="009D1039" w:rsidRPr="006B1DE1" w:rsidRDefault="009D1039" w:rsidP="00741AEB">
      <w:pPr>
        <w:ind w:right="489"/>
        <w:jc w:val="both"/>
        <w:rPr>
          <w:rFonts w:cs="Arial"/>
          <w:b/>
          <w:u w:val="single"/>
        </w:rPr>
      </w:pPr>
    </w:p>
    <w:p w14:paraId="182AECC3" w14:textId="19913A2B" w:rsidR="005063FB" w:rsidRDefault="00F67A46" w:rsidP="000652E0">
      <w:pPr>
        <w:spacing w:after="240"/>
        <w:ind w:left="720" w:hanging="720"/>
        <w:jc w:val="both"/>
      </w:pPr>
      <w:r>
        <w:t>2.63</w:t>
      </w:r>
      <w:r w:rsidR="000652E0">
        <w:tab/>
      </w:r>
      <w:r w:rsidR="00741AEB" w:rsidRPr="006B1DE1">
        <w:t>The 2016</w:t>
      </w:r>
      <w:r w:rsidR="001E7B76">
        <w:t>/17</w:t>
      </w:r>
      <w:r w:rsidR="00741AEB" w:rsidRPr="006B1DE1">
        <w:t xml:space="preserve"> budget includes approved MTFS savings of </w:t>
      </w:r>
      <w:r w:rsidR="00741AEB" w:rsidRPr="00C93368">
        <w:rPr>
          <w:b/>
        </w:rPr>
        <w:t>£1</w:t>
      </w:r>
      <w:r w:rsidR="00A81CE0" w:rsidRPr="00C93368">
        <w:rPr>
          <w:b/>
        </w:rPr>
        <w:t>7</w:t>
      </w:r>
      <w:r w:rsidR="001E7B76" w:rsidRPr="00C93368">
        <w:rPr>
          <w:b/>
        </w:rPr>
        <w:t>.553</w:t>
      </w:r>
      <w:r w:rsidR="00741AEB" w:rsidRPr="00C93368">
        <w:rPr>
          <w:b/>
        </w:rPr>
        <w:t>m</w:t>
      </w:r>
      <w:r w:rsidR="00741AEB" w:rsidRPr="006B1DE1">
        <w:t xml:space="preserve">.  The progress on implementation </w:t>
      </w:r>
      <w:r w:rsidR="00DE5AED">
        <w:t xml:space="preserve">of these savings </w:t>
      </w:r>
      <w:r w:rsidR="00741AEB" w:rsidRPr="006B1DE1">
        <w:t xml:space="preserve">is summarised below in table </w:t>
      </w:r>
      <w:r w:rsidR="00027425">
        <w:t>8</w:t>
      </w:r>
      <w:r w:rsidR="00741AEB" w:rsidRPr="006B1DE1">
        <w:t xml:space="preserve"> below and shown in more detail in Appendix 2</w:t>
      </w:r>
      <w:r w:rsidR="00F77E61">
        <w:t xml:space="preserve">.  </w:t>
      </w:r>
      <w:r w:rsidR="00282502">
        <w:t>As at the end of December</w:t>
      </w:r>
      <w:r w:rsidR="009B78EE">
        <w:t xml:space="preserve"> 2016</w:t>
      </w:r>
      <w:r w:rsidR="00A51DA2">
        <w:t xml:space="preserve">, Quarter </w:t>
      </w:r>
      <w:r w:rsidR="00282502">
        <w:t>3</w:t>
      </w:r>
      <w:r w:rsidR="001122DA">
        <w:t xml:space="preserve">, </w:t>
      </w:r>
      <w:r w:rsidR="00612BC3">
        <w:t>36</w:t>
      </w:r>
      <w:r w:rsidR="009B78EE">
        <w:t>% of savings had</w:t>
      </w:r>
      <w:r w:rsidR="00E121EB">
        <w:t xml:space="preserve"> already been ba</w:t>
      </w:r>
      <w:r w:rsidR="00DF582A">
        <w:t>nked (blue savings), 51</w:t>
      </w:r>
      <w:r w:rsidR="00E121EB">
        <w:t>% of savings (green and amber) are on tra</w:t>
      </w:r>
      <w:r w:rsidR="00CE4AD3">
        <w:t xml:space="preserve">ck or partially achieved, with </w:t>
      </w:r>
      <w:r w:rsidR="00DF582A">
        <w:t>13</w:t>
      </w:r>
      <w:r w:rsidR="00E121EB">
        <w:t>% o</w:t>
      </w:r>
      <w:r w:rsidR="000B5FC8">
        <w:t>f savings being declared as red.</w:t>
      </w:r>
      <w:r w:rsidR="005063FB">
        <w:t xml:space="preserve"> </w:t>
      </w:r>
    </w:p>
    <w:p w14:paraId="6EBB0D8B" w14:textId="7F5D4E89" w:rsidR="00025ABE" w:rsidRDefault="00027425" w:rsidP="008D06CF">
      <w:pPr>
        <w:ind w:firstLine="720"/>
        <w:rPr>
          <w:rFonts w:cs="Arial"/>
          <w:b/>
          <w:szCs w:val="24"/>
          <w:u w:val="single"/>
        </w:rPr>
      </w:pPr>
      <w:r>
        <w:rPr>
          <w:rFonts w:cs="Arial"/>
          <w:b/>
          <w:szCs w:val="24"/>
          <w:u w:val="single"/>
        </w:rPr>
        <w:t>Table 8</w:t>
      </w:r>
      <w:r w:rsidR="00E20DFD">
        <w:rPr>
          <w:rFonts w:cs="Arial"/>
          <w:b/>
          <w:szCs w:val="24"/>
          <w:u w:val="single"/>
        </w:rPr>
        <w:t xml:space="preserve"> MTFS Tracker</w:t>
      </w:r>
    </w:p>
    <w:p w14:paraId="729334B2" w14:textId="4B251CEC" w:rsidR="00E121EB" w:rsidRDefault="008D06CF" w:rsidP="00741AEB">
      <w:pPr>
        <w:rPr>
          <w:rFonts w:cs="Arial"/>
          <w:b/>
          <w:szCs w:val="24"/>
          <w:u w:val="single"/>
        </w:rPr>
      </w:pPr>
      <w:r>
        <w:t xml:space="preserve">           </w:t>
      </w:r>
    </w:p>
    <w:p w14:paraId="694107FD" w14:textId="22E6CAB8" w:rsidR="00B51F06" w:rsidRDefault="002B767B" w:rsidP="00741AEB">
      <w:pPr>
        <w:rPr>
          <w:rFonts w:cs="Arial"/>
          <w:b/>
          <w:szCs w:val="24"/>
          <w:u w:val="single"/>
        </w:rPr>
      </w:pPr>
      <w:r w:rsidRPr="002B767B">
        <w:rPr>
          <w:noProof/>
          <w:lang w:eastAsia="en-GB"/>
        </w:rPr>
        <w:drawing>
          <wp:inline distT="0" distB="0" distL="0" distR="0" wp14:anchorId="2B22670C" wp14:editId="1D355ABD">
            <wp:extent cx="4988560" cy="147574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8560" cy="1475740"/>
                    </a:xfrm>
                    <a:prstGeom prst="rect">
                      <a:avLst/>
                    </a:prstGeom>
                    <a:noFill/>
                    <a:ln>
                      <a:noFill/>
                    </a:ln>
                  </pic:spPr>
                </pic:pic>
              </a:graphicData>
            </a:graphic>
          </wp:inline>
        </w:drawing>
      </w:r>
    </w:p>
    <w:p w14:paraId="109A9597" w14:textId="77777777" w:rsidR="00633E7A" w:rsidRDefault="00633E7A" w:rsidP="008D06CF">
      <w:pPr>
        <w:ind w:left="142" w:firstLine="567"/>
        <w:jc w:val="both"/>
        <w:rPr>
          <w:rFonts w:cs="Arial"/>
          <w:szCs w:val="24"/>
        </w:rPr>
      </w:pPr>
    </w:p>
    <w:p w14:paraId="107994DA" w14:textId="5AB090BE" w:rsidR="00B51F06" w:rsidRDefault="00B51F06" w:rsidP="008D06CF">
      <w:pPr>
        <w:ind w:left="142" w:firstLine="567"/>
        <w:jc w:val="both"/>
        <w:rPr>
          <w:rFonts w:cs="Arial"/>
          <w:szCs w:val="24"/>
        </w:rPr>
      </w:pPr>
      <w:r w:rsidRPr="00B51F06">
        <w:rPr>
          <w:rFonts w:cs="Arial"/>
          <w:szCs w:val="24"/>
        </w:rPr>
        <w:t xml:space="preserve">The </w:t>
      </w:r>
      <w:r w:rsidR="00027425">
        <w:rPr>
          <w:rFonts w:cs="Arial"/>
          <w:szCs w:val="24"/>
        </w:rPr>
        <w:t>movement between Q</w:t>
      </w:r>
      <w:r w:rsidR="00B6659C">
        <w:rPr>
          <w:rFonts w:cs="Arial"/>
          <w:szCs w:val="24"/>
        </w:rPr>
        <w:t>2</w:t>
      </w:r>
      <w:r w:rsidR="00027425">
        <w:rPr>
          <w:rFonts w:cs="Arial"/>
          <w:szCs w:val="24"/>
        </w:rPr>
        <w:t xml:space="preserve"> and Q</w:t>
      </w:r>
      <w:r w:rsidR="00B6659C">
        <w:rPr>
          <w:rFonts w:cs="Arial"/>
          <w:szCs w:val="24"/>
        </w:rPr>
        <w:t>3</w:t>
      </w:r>
      <w:r w:rsidR="00027425">
        <w:rPr>
          <w:rFonts w:cs="Arial"/>
          <w:szCs w:val="24"/>
        </w:rPr>
        <w:t xml:space="preserve"> is</w:t>
      </w:r>
      <w:r>
        <w:rPr>
          <w:rFonts w:cs="Arial"/>
          <w:szCs w:val="24"/>
        </w:rPr>
        <w:t xml:space="preserve"> detailed below:</w:t>
      </w:r>
    </w:p>
    <w:p w14:paraId="0624124E" w14:textId="77777777" w:rsidR="00B51F06" w:rsidRDefault="00B51F06" w:rsidP="00F650D7">
      <w:pPr>
        <w:jc w:val="both"/>
        <w:rPr>
          <w:rFonts w:cs="Arial"/>
          <w:szCs w:val="24"/>
        </w:rPr>
      </w:pPr>
    </w:p>
    <w:p w14:paraId="7EB0102D" w14:textId="77777777" w:rsidR="002B767B" w:rsidRPr="002B767B" w:rsidRDefault="002B767B" w:rsidP="00F67A46">
      <w:pPr>
        <w:pStyle w:val="ListParagraph"/>
        <w:numPr>
          <w:ilvl w:val="1"/>
          <w:numId w:val="25"/>
        </w:numPr>
        <w:spacing w:after="120"/>
        <w:jc w:val="both"/>
        <w:rPr>
          <w:rFonts w:cs="Arial"/>
          <w:szCs w:val="24"/>
        </w:rPr>
      </w:pPr>
      <w:r>
        <w:rPr>
          <w:rFonts w:cs="Arial"/>
          <w:szCs w:val="24"/>
        </w:rPr>
        <w:t xml:space="preserve">The Red Savings has increased by </w:t>
      </w:r>
      <w:r w:rsidR="0042411C" w:rsidRPr="00FD7191">
        <w:rPr>
          <w:rFonts w:cs="Arial"/>
          <w:b/>
          <w:bCs/>
          <w:szCs w:val="24"/>
        </w:rPr>
        <w:t>£</w:t>
      </w:r>
      <w:r>
        <w:rPr>
          <w:rFonts w:cs="Arial"/>
          <w:b/>
          <w:bCs/>
          <w:szCs w:val="24"/>
        </w:rPr>
        <w:t>940</w:t>
      </w:r>
      <w:r w:rsidR="0042411C" w:rsidRPr="00FD7191">
        <w:rPr>
          <w:rFonts w:cs="Arial"/>
          <w:b/>
          <w:bCs/>
          <w:szCs w:val="24"/>
        </w:rPr>
        <w:t>k</w:t>
      </w:r>
      <w:r>
        <w:rPr>
          <w:rFonts w:cs="Arial"/>
          <w:b/>
          <w:bCs/>
          <w:szCs w:val="24"/>
        </w:rPr>
        <w:t xml:space="preserve"> </w:t>
      </w:r>
      <w:r w:rsidRPr="00981662">
        <w:rPr>
          <w:rFonts w:cs="Arial"/>
          <w:bCs/>
          <w:szCs w:val="24"/>
        </w:rPr>
        <w:t>as follows</w:t>
      </w:r>
      <w:r>
        <w:rPr>
          <w:rFonts w:cs="Arial"/>
          <w:b/>
          <w:bCs/>
          <w:szCs w:val="24"/>
        </w:rPr>
        <w:t>:</w:t>
      </w:r>
    </w:p>
    <w:p w14:paraId="0900369A" w14:textId="6341D193" w:rsidR="002B767B" w:rsidRDefault="002B767B" w:rsidP="005E553E">
      <w:pPr>
        <w:pStyle w:val="ListParagraph"/>
        <w:numPr>
          <w:ilvl w:val="1"/>
          <w:numId w:val="25"/>
        </w:numPr>
        <w:spacing w:after="120"/>
        <w:ind w:left="709" w:hanging="709"/>
        <w:jc w:val="both"/>
        <w:rPr>
          <w:rFonts w:cs="Arial"/>
          <w:szCs w:val="24"/>
        </w:rPr>
      </w:pPr>
      <w:r w:rsidRPr="00981662">
        <w:rPr>
          <w:rFonts w:cs="Arial"/>
          <w:bCs/>
          <w:szCs w:val="24"/>
        </w:rPr>
        <w:t>In Adult</w:t>
      </w:r>
      <w:r>
        <w:rPr>
          <w:rFonts w:cs="Arial"/>
          <w:b/>
          <w:bCs/>
          <w:szCs w:val="24"/>
        </w:rPr>
        <w:t xml:space="preserve"> £16</w:t>
      </w:r>
      <w:r w:rsidR="00981662">
        <w:rPr>
          <w:rFonts w:cs="Arial"/>
          <w:b/>
          <w:bCs/>
          <w:szCs w:val="24"/>
        </w:rPr>
        <w:t>6</w:t>
      </w:r>
      <w:r>
        <w:rPr>
          <w:rFonts w:cs="Arial"/>
          <w:b/>
          <w:bCs/>
          <w:szCs w:val="24"/>
        </w:rPr>
        <w:t xml:space="preserve">k </w:t>
      </w:r>
      <w:r w:rsidRPr="00981662">
        <w:rPr>
          <w:rFonts w:cs="Arial"/>
          <w:bCs/>
          <w:szCs w:val="24"/>
        </w:rPr>
        <w:t>is t</w:t>
      </w:r>
      <w:r w:rsidR="00B6659C" w:rsidRPr="00981662">
        <w:rPr>
          <w:rFonts w:cs="Arial"/>
          <w:szCs w:val="24"/>
        </w:rPr>
        <w:t>he</w:t>
      </w:r>
      <w:r w:rsidR="00B6659C">
        <w:rPr>
          <w:rFonts w:cs="Arial"/>
          <w:szCs w:val="24"/>
        </w:rPr>
        <w:t xml:space="preserve"> </w:t>
      </w:r>
      <w:proofErr w:type="spellStart"/>
      <w:r w:rsidR="00B6659C">
        <w:rPr>
          <w:rFonts w:cs="Arial"/>
          <w:szCs w:val="24"/>
        </w:rPr>
        <w:t>Sanc</w:t>
      </w:r>
      <w:r w:rsidR="000B5FC8">
        <w:rPr>
          <w:rFonts w:cs="Arial"/>
          <w:szCs w:val="24"/>
        </w:rPr>
        <w:t>roft</w:t>
      </w:r>
      <w:proofErr w:type="spellEnd"/>
      <w:r w:rsidR="000B5FC8">
        <w:rPr>
          <w:rFonts w:cs="Arial"/>
          <w:szCs w:val="24"/>
        </w:rPr>
        <w:t xml:space="preserve"> Contract Management saving</w:t>
      </w:r>
      <w:r w:rsidR="00B6659C">
        <w:rPr>
          <w:rFonts w:cs="Arial"/>
          <w:szCs w:val="24"/>
        </w:rPr>
        <w:t xml:space="preserve"> that was previously categoris</w:t>
      </w:r>
      <w:r w:rsidR="000B5FC8">
        <w:rPr>
          <w:rFonts w:cs="Arial"/>
          <w:szCs w:val="24"/>
        </w:rPr>
        <w:t>ed as Green, this savings will</w:t>
      </w:r>
      <w:r w:rsidR="00B6659C">
        <w:rPr>
          <w:rFonts w:cs="Arial"/>
          <w:szCs w:val="24"/>
        </w:rPr>
        <w:t xml:space="preserve"> not</w:t>
      </w:r>
      <w:r w:rsidR="000B5FC8">
        <w:rPr>
          <w:rFonts w:cs="Arial"/>
          <w:szCs w:val="24"/>
        </w:rPr>
        <w:t xml:space="preserve"> now</w:t>
      </w:r>
      <w:r w:rsidR="00B6659C">
        <w:rPr>
          <w:rFonts w:cs="Arial"/>
          <w:szCs w:val="24"/>
        </w:rPr>
        <w:t xml:space="preserve"> be achieved </w:t>
      </w:r>
      <w:r w:rsidR="009C383F">
        <w:rPr>
          <w:rFonts w:cs="Arial"/>
          <w:szCs w:val="24"/>
        </w:rPr>
        <w:t>as detailed in the 2016/17 MTFS</w:t>
      </w:r>
      <w:r w:rsidR="00282502">
        <w:rPr>
          <w:rFonts w:cs="Arial"/>
          <w:szCs w:val="24"/>
        </w:rPr>
        <w:t xml:space="preserve"> tracker (Appendix 2)</w:t>
      </w:r>
      <w:r w:rsidR="009C383F">
        <w:rPr>
          <w:rFonts w:cs="Arial"/>
          <w:szCs w:val="24"/>
        </w:rPr>
        <w:t>, an alternative management action has been taken to mitigate the impact of not achieving this saving this year.</w:t>
      </w:r>
    </w:p>
    <w:p w14:paraId="3A71CE7F" w14:textId="355E3131" w:rsidR="00981662" w:rsidRDefault="00981662" w:rsidP="005E553E">
      <w:pPr>
        <w:pStyle w:val="ListParagraph"/>
        <w:numPr>
          <w:ilvl w:val="1"/>
          <w:numId w:val="25"/>
        </w:numPr>
        <w:spacing w:after="120"/>
        <w:ind w:left="709" w:hanging="709"/>
        <w:jc w:val="both"/>
        <w:rPr>
          <w:rFonts w:cs="Arial"/>
          <w:szCs w:val="24"/>
        </w:rPr>
      </w:pPr>
      <w:r w:rsidRPr="00981662">
        <w:rPr>
          <w:rFonts w:cs="Arial"/>
          <w:szCs w:val="24"/>
        </w:rPr>
        <w:t>In Resource</w:t>
      </w:r>
      <w:r w:rsidR="000B5FC8">
        <w:rPr>
          <w:rFonts w:cs="Arial"/>
          <w:szCs w:val="24"/>
        </w:rPr>
        <w:t>s, a savings relating</w:t>
      </w:r>
      <w:r w:rsidR="00072FA7">
        <w:rPr>
          <w:rFonts w:cs="Arial"/>
          <w:szCs w:val="24"/>
        </w:rPr>
        <w:t xml:space="preserve"> to </w:t>
      </w:r>
      <w:r w:rsidR="000B5FC8">
        <w:rPr>
          <w:rFonts w:cs="Arial"/>
          <w:szCs w:val="24"/>
        </w:rPr>
        <w:t>i</w:t>
      </w:r>
      <w:r w:rsidRPr="00981662">
        <w:rPr>
          <w:rFonts w:cs="Arial"/>
          <w:szCs w:val="24"/>
        </w:rPr>
        <w:t>ncome from</w:t>
      </w:r>
      <w:r w:rsidR="00072FA7">
        <w:rPr>
          <w:rFonts w:cs="Arial"/>
          <w:szCs w:val="24"/>
        </w:rPr>
        <w:t xml:space="preserve"> the</w:t>
      </w:r>
      <w:r w:rsidRPr="00981662">
        <w:rPr>
          <w:rFonts w:cs="Arial"/>
          <w:szCs w:val="24"/>
        </w:rPr>
        <w:t xml:space="preserve"> Com</w:t>
      </w:r>
      <w:r w:rsidR="00072FA7">
        <w:rPr>
          <w:rFonts w:cs="Arial"/>
          <w:szCs w:val="24"/>
        </w:rPr>
        <w:t xml:space="preserve">munications provider of </w:t>
      </w:r>
      <w:r w:rsidR="00072FA7" w:rsidRPr="00072FA7">
        <w:rPr>
          <w:rFonts w:cs="Arial"/>
          <w:b/>
          <w:szCs w:val="24"/>
        </w:rPr>
        <w:t>£1</w:t>
      </w:r>
      <w:r w:rsidRPr="00072FA7">
        <w:rPr>
          <w:rFonts w:cs="Arial"/>
          <w:b/>
          <w:szCs w:val="24"/>
        </w:rPr>
        <w:t>25k</w:t>
      </w:r>
      <w:r w:rsidR="00072FA7">
        <w:rPr>
          <w:rFonts w:cs="Arial"/>
          <w:szCs w:val="24"/>
        </w:rPr>
        <w:t xml:space="preserve"> and the savings for </w:t>
      </w:r>
      <w:r w:rsidRPr="00981662">
        <w:rPr>
          <w:rFonts w:cs="Arial"/>
          <w:szCs w:val="24"/>
        </w:rPr>
        <w:t xml:space="preserve">Business Support Review </w:t>
      </w:r>
      <w:r w:rsidRPr="00072FA7">
        <w:rPr>
          <w:rFonts w:cs="Arial"/>
          <w:b/>
          <w:szCs w:val="24"/>
        </w:rPr>
        <w:t>£649k</w:t>
      </w:r>
      <w:r w:rsidR="00057CF2">
        <w:rPr>
          <w:rFonts w:cs="Arial"/>
          <w:szCs w:val="24"/>
        </w:rPr>
        <w:t xml:space="preserve"> which were </w:t>
      </w:r>
      <w:r w:rsidRPr="00981662">
        <w:rPr>
          <w:rFonts w:cs="Arial"/>
          <w:szCs w:val="24"/>
        </w:rPr>
        <w:t>previously categorised as Amber have now moved to Red</w:t>
      </w:r>
      <w:r>
        <w:rPr>
          <w:rFonts w:cs="Arial"/>
          <w:szCs w:val="24"/>
        </w:rPr>
        <w:t>.</w:t>
      </w:r>
    </w:p>
    <w:p w14:paraId="38CBC8EE" w14:textId="15375443" w:rsidR="002A6274" w:rsidRPr="009E22B0" w:rsidRDefault="00182EFE" w:rsidP="00F650D7">
      <w:pPr>
        <w:autoSpaceDE w:val="0"/>
        <w:autoSpaceDN w:val="0"/>
        <w:adjustRightInd w:val="0"/>
        <w:spacing w:after="240"/>
        <w:jc w:val="both"/>
        <w:rPr>
          <w:b/>
        </w:rPr>
      </w:pPr>
      <w:r>
        <w:rPr>
          <w:b/>
          <w:sz w:val="28"/>
          <w:szCs w:val="28"/>
        </w:rPr>
        <w:lastRenderedPageBreak/>
        <w:t>3</w:t>
      </w:r>
      <w:r w:rsidR="00B669C0" w:rsidRPr="00835EA0">
        <w:rPr>
          <w:b/>
          <w:sz w:val="28"/>
          <w:szCs w:val="28"/>
        </w:rPr>
        <w:t>.</w:t>
      </w:r>
      <w:r w:rsidR="00B669C0" w:rsidRPr="009E22B0">
        <w:rPr>
          <w:b/>
        </w:rPr>
        <w:t xml:space="preserve">  </w:t>
      </w:r>
      <w:r w:rsidR="002A6274" w:rsidRPr="009E22B0">
        <w:rPr>
          <w:b/>
        </w:rPr>
        <w:t>CAPITAL PROGRAMME</w:t>
      </w:r>
    </w:p>
    <w:p w14:paraId="72E6ECE8" w14:textId="005F50A2" w:rsidR="002A6274" w:rsidRPr="00EE65BB" w:rsidRDefault="002A6274" w:rsidP="00487842">
      <w:pPr>
        <w:autoSpaceDE w:val="0"/>
        <w:autoSpaceDN w:val="0"/>
        <w:adjustRightInd w:val="0"/>
        <w:spacing w:after="240"/>
        <w:ind w:right="43" w:firstLine="720"/>
        <w:jc w:val="both"/>
        <w:rPr>
          <w:b/>
          <w:u w:val="single"/>
        </w:rPr>
      </w:pPr>
      <w:r w:rsidRPr="00EE65BB">
        <w:rPr>
          <w:b/>
          <w:u w:val="single"/>
        </w:rPr>
        <w:t>Capital</w:t>
      </w:r>
      <w:r w:rsidR="00891E0A">
        <w:rPr>
          <w:b/>
          <w:u w:val="single"/>
        </w:rPr>
        <w:t xml:space="preserve"> Programme Forecast at Quarter </w:t>
      </w:r>
      <w:r w:rsidR="00235588">
        <w:rPr>
          <w:b/>
          <w:u w:val="single"/>
        </w:rPr>
        <w:t>3</w:t>
      </w:r>
    </w:p>
    <w:p w14:paraId="201B8355" w14:textId="51547C82" w:rsidR="002A6274" w:rsidRPr="008A73C4" w:rsidRDefault="00CE10BA" w:rsidP="001F1E67">
      <w:pPr>
        <w:pStyle w:val="ListParagraph"/>
        <w:numPr>
          <w:ilvl w:val="1"/>
          <w:numId w:val="7"/>
        </w:numPr>
        <w:tabs>
          <w:tab w:val="left" w:pos="426"/>
        </w:tabs>
        <w:autoSpaceDE w:val="0"/>
        <w:autoSpaceDN w:val="0"/>
        <w:adjustRightInd w:val="0"/>
        <w:spacing w:after="120"/>
        <w:ind w:left="709" w:right="43" w:hanging="709"/>
        <w:jc w:val="both"/>
      </w:pPr>
      <w:r>
        <w:t xml:space="preserve">    </w:t>
      </w:r>
      <w:r w:rsidR="002A6274" w:rsidRPr="008A73C4">
        <w:t>The 2016/17 capital programme ag</w:t>
      </w:r>
      <w:r w:rsidR="00404FAB">
        <w:t>reed by Council in February 2016</w:t>
      </w:r>
      <w:r w:rsidR="002A6274" w:rsidRPr="008A73C4">
        <w:t xml:space="preserve"> </w:t>
      </w:r>
      <w:r w:rsidR="00EE65BB">
        <w:tab/>
      </w:r>
      <w:r w:rsidR="002A6274" w:rsidRPr="008A73C4">
        <w:t>totalled £127.033m.  A</w:t>
      </w:r>
      <w:r w:rsidR="008F099E">
        <w:t xml:space="preserve">fter allowing for agreed slippage from </w:t>
      </w:r>
      <w:r w:rsidR="002A6274" w:rsidRPr="008A73C4">
        <w:t>2015/16</w:t>
      </w:r>
      <w:r w:rsidR="008F099E">
        <w:t xml:space="preserve"> </w:t>
      </w:r>
      <w:r w:rsidR="00EE65BB">
        <w:tab/>
      </w:r>
      <w:r w:rsidR="002A6274" w:rsidRPr="008A73C4">
        <w:t>outturn and other approved</w:t>
      </w:r>
      <w:r w:rsidR="008F099E">
        <w:t xml:space="preserve"> amendments,</w:t>
      </w:r>
      <w:r w:rsidR="002A6274" w:rsidRPr="008A73C4">
        <w:t xml:space="preserve"> t</w:t>
      </w:r>
      <w:r w:rsidR="00BA2F19" w:rsidRPr="008A73C4">
        <w:t xml:space="preserve">he programme now </w:t>
      </w:r>
      <w:r w:rsidR="00EE65BB">
        <w:tab/>
      </w:r>
      <w:r w:rsidR="00BA2F19" w:rsidRPr="008A73C4">
        <w:t>totals £1</w:t>
      </w:r>
      <w:r w:rsidR="00D23EDC">
        <w:t>69.901</w:t>
      </w:r>
      <w:r w:rsidR="00872505">
        <w:t>m at Quarter</w:t>
      </w:r>
      <w:r w:rsidR="00404FAB">
        <w:t xml:space="preserve"> </w:t>
      </w:r>
      <w:r w:rsidR="00235588">
        <w:t>3</w:t>
      </w:r>
      <w:r w:rsidR="002A6274" w:rsidRPr="008A73C4">
        <w:t xml:space="preserve">. </w:t>
      </w:r>
    </w:p>
    <w:p w14:paraId="3936A8BD" w14:textId="737A8A3F" w:rsidR="00182EFE" w:rsidRDefault="00BA2F19" w:rsidP="001F1E67">
      <w:pPr>
        <w:pStyle w:val="ListParagraph"/>
        <w:numPr>
          <w:ilvl w:val="1"/>
          <w:numId w:val="7"/>
        </w:numPr>
        <w:autoSpaceDE w:val="0"/>
        <w:autoSpaceDN w:val="0"/>
        <w:adjustRightInd w:val="0"/>
        <w:spacing w:after="120"/>
        <w:ind w:left="709" w:right="43" w:hanging="709"/>
        <w:jc w:val="both"/>
      </w:pPr>
      <w:r w:rsidRPr="008A73C4">
        <w:t>The forecast s</w:t>
      </w:r>
      <w:r w:rsidR="00986777">
        <w:t>pend at Quarter 3</w:t>
      </w:r>
      <w:r w:rsidRPr="008A73C4">
        <w:t xml:space="preserve"> is £1</w:t>
      </w:r>
      <w:r w:rsidR="00986777">
        <w:t>08</w:t>
      </w:r>
      <w:r w:rsidR="00404FAB">
        <w:t>.</w:t>
      </w:r>
      <w:r w:rsidR="00C279E9">
        <w:t>8</w:t>
      </w:r>
      <w:r w:rsidR="00D46ECA">
        <w:t>57</w:t>
      </w:r>
      <w:r w:rsidRPr="008A73C4">
        <w:t xml:space="preserve">m, </w:t>
      </w:r>
      <w:r w:rsidR="00986777">
        <w:t>6</w:t>
      </w:r>
      <w:r w:rsidR="007E21E1">
        <w:t>4</w:t>
      </w:r>
      <w:r w:rsidR="002A6274" w:rsidRPr="008A73C4">
        <w:t>% of the total capital programme</w:t>
      </w:r>
      <w:r w:rsidRPr="008A73C4">
        <w:t>.</w:t>
      </w:r>
      <w:r w:rsidR="002A6274" w:rsidRPr="008A73C4">
        <w:t xml:space="preserve">  </w:t>
      </w:r>
    </w:p>
    <w:p w14:paraId="23D69E56" w14:textId="7991E65C" w:rsidR="00DB3161" w:rsidRDefault="002A6274" w:rsidP="001F1E67">
      <w:pPr>
        <w:pStyle w:val="ListParagraph"/>
        <w:numPr>
          <w:ilvl w:val="1"/>
          <w:numId w:val="7"/>
        </w:numPr>
        <w:autoSpaceDE w:val="0"/>
        <w:autoSpaceDN w:val="0"/>
        <w:adjustRightInd w:val="0"/>
        <w:spacing w:after="120"/>
        <w:ind w:left="709" w:right="43" w:hanging="709"/>
        <w:jc w:val="both"/>
      </w:pPr>
      <w:r w:rsidRPr="008A73C4">
        <w:t xml:space="preserve">The forecast variance on </w:t>
      </w:r>
      <w:r w:rsidR="004751D8">
        <w:t xml:space="preserve">the </w:t>
      </w:r>
      <w:r w:rsidRPr="008A73C4">
        <w:t xml:space="preserve">General Fund at </w:t>
      </w:r>
      <w:proofErr w:type="spellStart"/>
      <w:r w:rsidR="004751D8">
        <w:t>Q</w:t>
      </w:r>
      <w:r w:rsidRPr="008A73C4">
        <w:t>tr</w:t>
      </w:r>
      <w:proofErr w:type="spellEnd"/>
      <w:r w:rsidRPr="008A73C4">
        <w:t xml:space="preserve"> </w:t>
      </w:r>
      <w:r w:rsidR="00986777">
        <w:t>3</w:t>
      </w:r>
      <w:r w:rsidRPr="008A73C4">
        <w:t xml:space="preserve"> is a</w:t>
      </w:r>
      <w:r w:rsidR="00282502">
        <w:t xml:space="preserve"> variance </w:t>
      </w:r>
      <w:r w:rsidRPr="008A73C4">
        <w:t xml:space="preserve"> </w:t>
      </w:r>
      <w:r w:rsidR="00EE65BB">
        <w:tab/>
      </w:r>
      <w:r w:rsidRPr="008A73C4">
        <w:t xml:space="preserve">of </w:t>
      </w:r>
      <w:r w:rsidR="00282502">
        <w:t>(</w:t>
      </w:r>
      <w:r w:rsidRPr="008A73C4">
        <w:t>£</w:t>
      </w:r>
      <w:r w:rsidR="0066304B">
        <w:t>45.2</w:t>
      </w:r>
      <w:r w:rsidR="00D46ECA">
        <w:t>37</w:t>
      </w:r>
      <w:r w:rsidR="00282502">
        <w:t>)</w:t>
      </w:r>
      <w:r w:rsidR="005C30AC" w:rsidRPr="008A73C4">
        <w:t xml:space="preserve"> (</w:t>
      </w:r>
      <w:r w:rsidR="007E21E1">
        <w:t>33</w:t>
      </w:r>
      <w:r w:rsidRPr="008A73C4">
        <w:t>%)</w:t>
      </w:r>
      <w:r w:rsidR="004751D8">
        <w:t xml:space="preserve"> of which</w:t>
      </w:r>
      <w:r w:rsidR="005C30AC" w:rsidRPr="008A73C4">
        <w:t xml:space="preserve"> £</w:t>
      </w:r>
      <w:r w:rsidR="0066304B">
        <w:t>45.0</w:t>
      </w:r>
      <w:r w:rsidR="00D46ECA">
        <w:t>78</w:t>
      </w:r>
      <w:r w:rsidR="005C30AC" w:rsidRPr="008A73C4">
        <w:t xml:space="preserve">m </w:t>
      </w:r>
      <w:r w:rsidR="004751D8">
        <w:t xml:space="preserve">is requested for slippage into </w:t>
      </w:r>
      <w:r w:rsidR="00EE65BB">
        <w:tab/>
      </w:r>
      <w:r w:rsidR="000B5FC8">
        <w:t>20</w:t>
      </w:r>
      <w:r w:rsidR="00404FAB">
        <w:t>17/18</w:t>
      </w:r>
      <w:r w:rsidR="00A870EE">
        <w:t xml:space="preserve"> and £0.159</w:t>
      </w:r>
      <w:r w:rsidR="006222A2">
        <w:t>m</w:t>
      </w:r>
      <w:r w:rsidR="00DB3161" w:rsidRPr="00DB3161">
        <w:t xml:space="preserve"> represent</w:t>
      </w:r>
      <w:r w:rsidR="00530FB2">
        <w:t>s</w:t>
      </w:r>
      <w:r w:rsidR="00DB3161" w:rsidRPr="00DB3161">
        <w:t xml:space="preserve"> the capital budget</w:t>
      </w:r>
      <w:r w:rsidR="00282502">
        <w:t>s</w:t>
      </w:r>
      <w:r w:rsidR="00DB3161" w:rsidRPr="00DB3161">
        <w:t xml:space="preserve"> no longer require</w:t>
      </w:r>
      <w:r w:rsidR="00282502">
        <w:t>d</w:t>
      </w:r>
      <w:r w:rsidR="00DB3161">
        <w:t>.</w:t>
      </w:r>
    </w:p>
    <w:p w14:paraId="14E5EF9F" w14:textId="6D3F5526" w:rsidR="005C30AC" w:rsidRPr="008A73C4" w:rsidRDefault="002A6274" w:rsidP="001F1E67">
      <w:pPr>
        <w:pStyle w:val="ListParagraph"/>
        <w:numPr>
          <w:ilvl w:val="1"/>
          <w:numId w:val="8"/>
        </w:numPr>
        <w:autoSpaceDE w:val="0"/>
        <w:autoSpaceDN w:val="0"/>
        <w:adjustRightInd w:val="0"/>
        <w:spacing w:after="120"/>
        <w:ind w:left="709" w:right="43" w:hanging="709"/>
        <w:jc w:val="both"/>
      </w:pPr>
      <w:r w:rsidRPr="008A73C4">
        <w:t xml:space="preserve">The forecast variance on the </w:t>
      </w:r>
      <w:r w:rsidR="00E54720">
        <w:t xml:space="preserve">HRA at Quarter </w:t>
      </w:r>
      <w:r w:rsidR="009330DC">
        <w:t>3 is £15.807</w:t>
      </w:r>
      <w:r w:rsidR="00E54720">
        <w:t xml:space="preserve">m, </w:t>
      </w:r>
      <w:r w:rsidR="00BE0571">
        <w:t xml:space="preserve">of </w:t>
      </w:r>
      <w:r w:rsidR="00E54720">
        <w:t>which</w:t>
      </w:r>
      <w:r w:rsidR="00530FB2">
        <w:t xml:space="preserve"> </w:t>
      </w:r>
      <w:r w:rsidR="00CA1351">
        <w:t>£15.307</w:t>
      </w:r>
      <w:r w:rsidR="00BE0571">
        <w:t>m will be slipped</w:t>
      </w:r>
      <w:r w:rsidR="007E21E1">
        <w:t xml:space="preserve"> into</w:t>
      </w:r>
      <w:r w:rsidR="00BE0571">
        <w:t xml:space="preserve"> </w:t>
      </w:r>
      <w:r w:rsidR="000B5FC8">
        <w:t>20</w:t>
      </w:r>
      <w:r w:rsidR="00BE0571">
        <w:t xml:space="preserve">17/18 and £500k </w:t>
      </w:r>
      <w:r w:rsidR="007E21E1">
        <w:t>budget is no longer required</w:t>
      </w:r>
      <w:r w:rsidR="00BE0571">
        <w:t>.</w:t>
      </w:r>
      <w:r w:rsidRPr="008A73C4">
        <w:t xml:space="preserve"> </w:t>
      </w:r>
    </w:p>
    <w:p w14:paraId="01F9FCD1" w14:textId="1856DEBC" w:rsidR="00FA4E9F" w:rsidRPr="00F67A46" w:rsidRDefault="00EE65BB" w:rsidP="008A73C4">
      <w:pPr>
        <w:pStyle w:val="ListParagraph"/>
        <w:numPr>
          <w:ilvl w:val="1"/>
          <w:numId w:val="8"/>
        </w:numPr>
        <w:autoSpaceDE w:val="0"/>
        <w:autoSpaceDN w:val="0"/>
        <w:adjustRightInd w:val="0"/>
        <w:spacing w:after="240"/>
        <w:ind w:right="43"/>
        <w:jc w:val="both"/>
      </w:pPr>
      <w:r>
        <w:t xml:space="preserve">     </w:t>
      </w:r>
      <w:r w:rsidR="002A6274" w:rsidRPr="008A73C4">
        <w:t xml:space="preserve">Tables </w:t>
      </w:r>
      <w:r w:rsidR="00530FB2">
        <w:t>9</w:t>
      </w:r>
      <w:r w:rsidR="002A6274" w:rsidRPr="008A73C4">
        <w:t xml:space="preserve"> and </w:t>
      </w:r>
      <w:r w:rsidR="00530FB2">
        <w:t>10</w:t>
      </w:r>
      <w:r w:rsidR="002A6274" w:rsidRPr="008A73C4">
        <w:t xml:space="preserve"> below summarise the capital forecast position and </w:t>
      </w:r>
      <w:r>
        <w:tab/>
      </w:r>
      <w:r w:rsidR="002A6274" w:rsidRPr="008A73C4">
        <w:t>Appendix 4 shows the capital programme in more detail:</w:t>
      </w:r>
    </w:p>
    <w:p w14:paraId="6E649FEF" w14:textId="77777777" w:rsidR="00FA4E9F" w:rsidRDefault="00FA4E9F" w:rsidP="008A73C4">
      <w:pPr>
        <w:autoSpaceDE w:val="0"/>
        <w:autoSpaceDN w:val="0"/>
        <w:adjustRightInd w:val="0"/>
        <w:spacing w:after="240"/>
        <w:rPr>
          <w:b/>
          <w:u w:val="single"/>
        </w:rPr>
      </w:pPr>
    </w:p>
    <w:p w14:paraId="02348B06" w14:textId="77777777" w:rsidR="00321F56" w:rsidRDefault="00321F56" w:rsidP="008A73C4">
      <w:pPr>
        <w:autoSpaceDE w:val="0"/>
        <w:autoSpaceDN w:val="0"/>
        <w:adjustRightInd w:val="0"/>
        <w:spacing w:after="240"/>
        <w:rPr>
          <w:b/>
          <w:u w:val="single"/>
        </w:rPr>
      </w:pPr>
    </w:p>
    <w:p w14:paraId="46F54C5A" w14:textId="47A19D68" w:rsidR="002C67F2" w:rsidRDefault="002C67F2" w:rsidP="008A73C4">
      <w:pPr>
        <w:autoSpaceDE w:val="0"/>
        <w:autoSpaceDN w:val="0"/>
        <w:adjustRightInd w:val="0"/>
        <w:spacing w:after="240"/>
        <w:rPr>
          <w:b/>
          <w:u w:val="single"/>
        </w:rPr>
      </w:pPr>
      <w:r w:rsidRPr="008A73C4">
        <w:rPr>
          <w:b/>
          <w:u w:val="single"/>
        </w:rPr>
        <w:t xml:space="preserve">Table </w:t>
      </w:r>
      <w:r w:rsidR="00530FB2">
        <w:rPr>
          <w:b/>
          <w:u w:val="single"/>
        </w:rPr>
        <w:t>9</w:t>
      </w:r>
      <w:r w:rsidRPr="008A73C4">
        <w:rPr>
          <w:b/>
          <w:u w:val="single"/>
        </w:rPr>
        <w:t xml:space="preserve"> Summary of forecast by directorate</w:t>
      </w:r>
    </w:p>
    <w:p w14:paraId="29F31C62" w14:textId="75F90547" w:rsidR="00EA64B8" w:rsidRPr="008A73C4" w:rsidRDefault="0066304B" w:rsidP="008A73C4">
      <w:pPr>
        <w:autoSpaceDE w:val="0"/>
        <w:autoSpaceDN w:val="0"/>
        <w:adjustRightInd w:val="0"/>
        <w:spacing w:after="240"/>
        <w:rPr>
          <w:b/>
          <w:u w:val="single"/>
        </w:rPr>
      </w:pPr>
      <w:r>
        <w:rPr>
          <w:b/>
          <w:noProof/>
          <w:u w:val="single"/>
          <w:lang w:eastAsia="en-GB"/>
        </w:rPr>
        <w:drawing>
          <wp:inline distT="0" distB="0" distL="0" distR="0" wp14:anchorId="45BB098F" wp14:editId="5A011114">
            <wp:extent cx="5688330" cy="415798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8330" cy="4157980"/>
                    </a:xfrm>
                    <a:prstGeom prst="rect">
                      <a:avLst/>
                    </a:prstGeom>
                    <a:noFill/>
                  </pic:spPr>
                </pic:pic>
              </a:graphicData>
            </a:graphic>
          </wp:inline>
        </w:drawing>
      </w:r>
    </w:p>
    <w:p w14:paraId="482EACAD" w14:textId="77777777" w:rsidR="008210B6" w:rsidRDefault="008210B6">
      <w:pPr>
        <w:rPr>
          <w:b/>
          <w:u w:val="single"/>
        </w:rPr>
      </w:pPr>
      <w:r>
        <w:rPr>
          <w:b/>
          <w:u w:val="single"/>
        </w:rPr>
        <w:br w:type="page"/>
      </w:r>
    </w:p>
    <w:p w14:paraId="70F35624" w14:textId="6E80399A" w:rsidR="00872505" w:rsidRDefault="007635E6" w:rsidP="008A73C4">
      <w:pPr>
        <w:autoSpaceDE w:val="0"/>
        <w:autoSpaceDN w:val="0"/>
        <w:adjustRightInd w:val="0"/>
        <w:spacing w:after="240"/>
        <w:rPr>
          <w:b/>
          <w:u w:val="single"/>
        </w:rPr>
      </w:pPr>
      <w:r>
        <w:rPr>
          <w:b/>
          <w:u w:val="single"/>
        </w:rPr>
        <w:lastRenderedPageBreak/>
        <w:t>T</w:t>
      </w:r>
      <w:r w:rsidR="002A6274" w:rsidRPr="002A6274">
        <w:rPr>
          <w:b/>
          <w:u w:val="single"/>
        </w:rPr>
        <w:t xml:space="preserve">able </w:t>
      </w:r>
      <w:r w:rsidR="00530FB2">
        <w:rPr>
          <w:b/>
          <w:u w:val="single"/>
        </w:rPr>
        <w:t>10</w:t>
      </w:r>
      <w:r w:rsidR="002A6274" w:rsidRPr="002A6274">
        <w:rPr>
          <w:b/>
          <w:u w:val="single"/>
        </w:rPr>
        <w:t xml:space="preserve"> Analysis of Forecast Outturn variance</w:t>
      </w:r>
    </w:p>
    <w:p w14:paraId="762A76C1" w14:textId="31563ECE" w:rsidR="0066304B" w:rsidRDefault="0066304B" w:rsidP="008A73C4">
      <w:pPr>
        <w:autoSpaceDE w:val="0"/>
        <w:autoSpaceDN w:val="0"/>
        <w:adjustRightInd w:val="0"/>
        <w:spacing w:after="240"/>
        <w:rPr>
          <w:b/>
          <w:u w:val="single"/>
        </w:rPr>
      </w:pPr>
      <w:r>
        <w:rPr>
          <w:b/>
          <w:noProof/>
          <w:u w:val="single"/>
          <w:lang w:eastAsia="en-GB"/>
        </w:rPr>
        <w:drawing>
          <wp:inline distT="0" distB="0" distL="0" distR="0" wp14:anchorId="58AE86C3" wp14:editId="24AB4450">
            <wp:extent cx="5622202" cy="3947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1020" cy="3946480"/>
                    </a:xfrm>
                    <a:prstGeom prst="rect">
                      <a:avLst/>
                    </a:prstGeom>
                    <a:noFill/>
                  </pic:spPr>
                </pic:pic>
              </a:graphicData>
            </a:graphic>
          </wp:inline>
        </w:drawing>
      </w:r>
    </w:p>
    <w:p w14:paraId="34C61E47" w14:textId="77777777" w:rsidR="00321F56" w:rsidRDefault="00321F56" w:rsidP="00487842">
      <w:pPr>
        <w:autoSpaceDE w:val="0"/>
        <w:autoSpaceDN w:val="0"/>
        <w:adjustRightInd w:val="0"/>
        <w:spacing w:after="240"/>
        <w:rPr>
          <w:b/>
          <w:bCs/>
          <w:u w:val="single"/>
        </w:rPr>
      </w:pPr>
    </w:p>
    <w:p w14:paraId="272942C1" w14:textId="4AC9AD72" w:rsidR="002A6274" w:rsidRPr="00321915" w:rsidRDefault="007E21E1" w:rsidP="00487842">
      <w:pPr>
        <w:autoSpaceDE w:val="0"/>
        <w:autoSpaceDN w:val="0"/>
        <w:adjustRightInd w:val="0"/>
        <w:spacing w:after="240"/>
        <w:rPr>
          <w:b/>
          <w:bCs/>
          <w:u w:val="single"/>
        </w:rPr>
      </w:pPr>
      <w:r>
        <w:rPr>
          <w:b/>
          <w:bCs/>
          <w:u w:val="single"/>
        </w:rPr>
        <w:t>R</w:t>
      </w:r>
      <w:r w:rsidR="002A6274" w:rsidRPr="00321915">
        <w:rPr>
          <w:b/>
          <w:bCs/>
          <w:u w:val="single"/>
        </w:rPr>
        <w:t>ESOURCES DIRECTORATE</w:t>
      </w:r>
    </w:p>
    <w:p w14:paraId="74F2BCBA" w14:textId="5AA5C5C9" w:rsidR="002C3AEC" w:rsidRPr="008A73C4" w:rsidRDefault="002C3AEC" w:rsidP="00720057">
      <w:pPr>
        <w:pStyle w:val="ListParagraph"/>
        <w:numPr>
          <w:ilvl w:val="1"/>
          <w:numId w:val="8"/>
        </w:numPr>
        <w:autoSpaceDE w:val="0"/>
        <w:autoSpaceDN w:val="0"/>
        <w:adjustRightInd w:val="0"/>
        <w:spacing w:after="120"/>
        <w:ind w:left="709" w:hanging="709"/>
        <w:jc w:val="both"/>
      </w:pPr>
      <w:r w:rsidRPr="008A73C4">
        <w:t xml:space="preserve">As at Quarter </w:t>
      </w:r>
      <w:r w:rsidR="00BE0571">
        <w:t>3</w:t>
      </w:r>
      <w:r w:rsidR="00C2099F">
        <w:t xml:space="preserve"> </w:t>
      </w:r>
      <w:r w:rsidRPr="008A73C4">
        <w:t xml:space="preserve">the forecast spend </w:t>
      </w:r>
      <w:r w:rsidR="00E92D72">
        <w:t>is</w:t>
      </w:r>
      <w:r w:rsidRPr="008A73C4">
        <w:t xml:space="preserve"> £</w:t>
      </w:r>
      <w:r w:rsidR="007E21E1">
        <w:t>19.449m, 65</w:t>
      </w:r>
      <w:r w:rsidRPr="008A73C4">
        <w:t>% of the 20</w:t>
      </w:r>
      <w:r w:rsidR="002A6274" w:rsidRPr="008A73C4">
        <w:t>16</w:t>
      </w:r>
      <w:r w:rsidRPr="008A73C4">
        <w:t>/17</w:t>
      </w:r>
      <w:r w:rsidR="002A6274" w:rsidRPr="008A73C4">
        <w:t xml:space="preserve"> Resource’s directorate capital budget. The forecas</w:t>
      </w:r>
      <w:r w:rsidRPr="008A73C4">
        <w:t xml:space="preserve">t </w:t>
      </w:r>
      <w:r w:rsidR="00E92D72">
        <w:t>variance</w:t>
      </w:r>
      <w:r w:rsidRPr="008A73C4">
        <w:t xml:space="preserve"> is </w:t>
      </w:r>
      <w:r w:rsidR="00E92D72">
        <w:t>(</w:t>
      </w:r>
      <w:r w:rsidR="007F166D">
        <w:t>£10.5</w:t>
      </w:r>
      <w:r w:rsidR="007E21E1">
        <w:t>1</w:t>
      </w:r>
      <w:r w:rsidR="00AA72DB">
        <w:t>3</w:t>
      </w:r>
      <w:r w:rsidR="00B87DA1">
        <w:t>m</w:t>
      </w:r>
      <w:r w:rsidR="00E92D72">
        <w:t>)</w:t>
      </w:r>
      <w:r w:rsidR="00A870EE">
        <w:t xml:space="preserve"> which will all be slipped into 2017/18.</w:t>
      </w:r>
    </w:p>
    <w:p w14:paraId="1F3F2AE0" w14:textId="33E773D4" w:rsidR="002A6274" w:rsidRPr="008A73C4" w:rsidRDefault="002A6274" w:rsidP="00720057">
      <w:pPr>
        <w:pStyle w:val="ListParagraph"/>
        <w:numPr>
          <w:ilvl w:val="1"/>
          <w:numId w:val="9"/>
        </w:numPr>
        <w:autoSpaceDE w:val="0"/>
        <w:autoSpaceDN w:val="0"/>
        <w:adjustRightInd w:val="0"/>
        <w:spacing w:after="120"/>
        <w:ind w:left="709" w:hanging="709"/>
        <w:jc w:val="both"/>
      </w:pPr>
      <w:r w:rsidRPr="008A73C4">
        <w:t>The main items of slippage are detailed below:</w:t>
      </w:r>
    </w:p>
    <w:p w14:paraId="3B2813A7" w14:textId="042367EA" w:rsidR="00125A0A" w:rsidRDefault="00CE38D4" w:rsidP="00487842">
      <w:pPr>
        <w:pStyle w:val="ListParagraph"/>
        <w:numPr>
          <w:ilvl w:val="1"/>
          <w:numId w:val="9"/>
        </w:numPr>
        <w:autoSpaceDE w:val="0"/>
        <w:autoSpaceDN w:val="0"/>
        <w:adjustRightInd w:val="0"/>
        <w:spacing w:after="240"/>
        <w:ind w:left="709" w:hanging="709"/>
        <w:jc w:val="both"/>
      </w:pPr>
      <w:r>
        <w:t>Property Investment Portfolio – I</w:t>
      </w:r>
      <w:r w:rsidR="00530FB2">
        <w:t xml:space="preserve">t is been estimated </w:t>
      </w:r>
      <w:r w:rsidR="00C45CF6">
        <w:t xml:space="preserve">that </w:t>
      </w:r>
      <w:r w:rsidR="00C45CF6" w:rsidRPr="006379E1">
        <w:t>£</w:t>
      </w:r>
      <w:r w:rsidR="00AA72DB" w:rsidRPr="006379E1">
        <w:t>5.371</w:t>
      </w:r>
      <w:r w:rsidR="00DB7BED" w:rsidRPr="006379E1">
        <w:t>m</w:t>
      </w:r>
      <w:r w:rsidR="00DB7BED">
        <w:t xml:space="preserve"> of the £15m budget will be spen</w:t>
      </w:r>
      <w:r w:rsidR="00E121EB">
        <w:t>t</w:t>
      </w:r>
      <w:r w:rsidR="00AA72DB">
        <w:t xml:space="preserve"> this year and the remaining </w:t>
      </w:r>
      <w:r w:rsidR="00AA72DB" w:rsidRPr="006379E1">
        <w:rPr>
          <w:b/>
        </w:rPr>
        <w:t>£9.629</w:t>
      </w:r>
      <w:r w:rsidR="00DB7BED" w:rsidRPr="006379E1">
        <w:rPr>
          <w:b/>
        </w:rPr>
        <w:t>m</w:t>
      </w:r>
      <w:r w:rsidR="00DB7BED">
        <w:t xml:space="preserve"> will be </w:t>
      </w:r>
      <w:r w:rsidR="009E5B1B">
        <w:t>slipped</w:t>
      </w:r>
      <w:r w:rsidR="00DB7BED">
        <w:t xml:space="preserve"> to 2017/18.</w:t>
      </w:r>
      <w:r w:rsidR="008157BA">
        <w:t xml:space="preserve"> </w:t>
      </w:r>
      <w:r w:rsidR="009E5B1B">
        <w:t>The i</w:t>
      </w:r>
      <w:r w:rsidR="008157BA">
        <w:t>mplication of this slippage is the po</w:t>
      </w:r>
      <w:r w:rsidR="00530FB2">
        <w:t>tential</w:t>
      </w:r>
      <w:r w:rsidR="008157BA">
        <w:t xml:space="preserve"> f</w:t>
      </w:r>
      <w:r w:rsidR="00530FB2">
        <w:t>or</w:t>
      </w:r>
      <w:r w:rsidR="008157BA">
        <w:t xml:space="preserve"> not achieving £</w:t>
      </w:r>
      <w:r w:rsidR="00E92D72">
        <w:t>0.350</w:t>
      </w:r>
      <w:r w:rsidR="00530FB2">
        <w:t>m</w:t>
      </w:r>
      <w:r w:rsidR="008157BA">
        <w:t xml:space="preserve"> </w:t>
      </w:r>
      <w:r w:rsidR="005C4733">
        <w:t>MTFS</w:t>
      </w:r>
      <w:r w:rsidR="008157BA">
        <w:t xml:space="preserve"> savings </w:t>
      </w:r>
      <w:r w:rsidR="00530FB2">
        <w:t xml:space="preserve">in </w:t>
      </w:r>
      <w:r w:rsidR="000131B9">
        <w:t>20</w:t>
      </w:r>
      <w:r w:rsidR="00530FB2">
        <w:t>17/18</w:t>
      </w:r>
      <w:r w:rsidR="00E92D72">
        <w:t>. T</w:t>
      </w:r>
      <w:r w:rsidR="00530FB2">
        <w:t>his will be monitored closely.</w:t>
      </w:r>
    </w:p>
    <w:p w14:paraId="799C9084" w14:textId="3C3A3431" w:rsidR="007F166D" w:rsidRDefault="007F166D" w:rsidP="00487842">
      <w:pPr>
        <w:pStyle w:val="ListParagraph"/>
        <w:numPr>
          <w:ilvl w:val="1"/>
          <w:numId w:val="9"/>
        </w:numPr>
        <w:autoSpaceDE w:val="0"/>
        <w:autoSpaceDN w:val="0"/>
        <w:adjustRightInd w:val="0"/>
        <w:spacing w:after="240"/>
        <w:ind w:left="709" w:hanging="709"/>
        <w:jc w:val="both"/>
      </w:pPr>
      <w:r>
        <w:t xml:space="preserve">FM Minor work project – </w:t>
      </w:r>
      <w:r w:rsidR="008F4674">
        <w:t xml:space="preserve">This is </w:t>
      </w:r>
      <w:r w:rsidR="008F4674" w:rsidRPr="00E92D72">
        <w:t>a £</w:t>
      </w:r>
      <w:r w:rsidR="00E92D72" w:rsidRPr="00E92D72">
        <w:t>0.500</w:t>
      </w:r>
      <w:r w:rsidR="006379E1" w:rsidRPr="00E92D72">
        <w:t>m</w:t>
      </w:r>
      <w:r w:rsidR="00E92D72">
        <w:t xml:space="preserve"> budget set aside to carry out</w:t>
      </w:r>
      <w:r w:rsidR="008F4674">
        <w:t xml:space="preserve"> </w:t>
      </w:r>
      <w:r>
        <w:t xml:space="preserve">any </w:t>
      </w:r>
      <w:r w:rsidR="008F4674">
        <w:t xml:space="preserve">in-year </w:t>
      </w:r>
      <w:r>
        <w:t>minor work</w:t>
      </w:r>
      <w:r w:rsidR="008F4674">
        <w:t xml:space="preserve"> that might materialise</w:t>
      </w:r>
      <w:r w:rsidR="00E92D72">
        <w:t>.</w:t>
      </w:r>
      <w:r w:rsidR="00017C91">
        <w:t xml:space="preserve"> O</w:t>
      </w:r>
      <w:r w:rsidR="008F4674">
        <w:t>f this budget it is estimated tha</w:t>
      </w:r>
      <w:r w:rsidR="00E92D72">
        <w:t>t only £200k will be spent</w:t>
      </w:r>
      <w:r w:rsidR="008F4674">
        <w:t xml:space="preserve"> this year and the remaining </w:t>
      </w:r>
      <w:r w:rsidR="008F4674" w:rsidRPr="00E92D72">
        <w:rPr>
          <w:b/>
        </w:rPr>
        <w:t>£300k</w:t>
      </w:r>
      <w:r w:rsidR="008F4674">
        <w:t xml:space="preserve"> will be slipped into 2017/18.</w:t>
      </w:r>
      <w:r>
        <w:t xml:space="preserve">  </w:t>
      </w:r>
      <w:r w:rsidR="00017C91">
        <w:t xml:space="preserve">The financial impact of slipping the £300k is the one off savings on revenue cost budgeted this year for this project.  </w:t>
      </w:r>
    </w:p>
    <w:p w14:paraId="0ECCEBA5" w14:textId="2BBAB97C" w:rsidR="00321915" w:rsidRDefault="008F4674" w:rsidP="009D401D">
      <w:pPr>
        <w:pStyle w:val="ListParagraph"/>
        <w:numPr>
          <w:ilvl w:val="1"/>
          <w:numId w:val="9"/>
        </w:numPr>
        <w:autoSpaceDE w:val="0"/>
        <w:autoSpaceDN w:val="0"/>
        <w:adjustRightInd w:val="0"/>
        <w:spacing w:after="240"/>
        <w:ind w:left="709" w:hanging="709"/>
        <w:jc w:val="both"/>
      </w:pPr>
      <w:r>
        <w:t>LAA</w:t>
      </w:r>
      <w:r w:rsidR="005D14A7">
        <w:t xml:space="preserve"> Performance Reward Grant - </w:t>
      </w:r>
      <w:r w:rsidR="005D14A7" w:rsidRPr="006379E1">
        <w:rPr>
          <w:b/>
        </w:rPr>
        <w:t>£100k</w:t>
      </w:r>
      <w:r w:rsidR="005D14A7">
        <w:t xml:space="preserve"> of this budg</w:t>
      </w:r>
      <w:r w:rsidR="009D401D">
        <w:t>et will be slipped into 2017/18</w:t>
      </w:r>
      <w:r w:rsidR="00A870EE">
        <w:t>.</w:t>
      </w:r>
    </w:p>
    <w:p w14:paraId="714BAB1D" w14:textId="63793E72" w:rsidR="00513881" w:rsidRPr="00513881" w:rsidRDefault="006379E1" w:rsidP="009D401D">
      <w:pPr>
        <w:pStyle w:val="ListParagraph"/>
        <w:numPr>
          <w:ilvl w:val="1"/>
          <w:numId w:val="9"/>
        </w:numPr>
        <w:autoSpaceDE w:val="0"/>
        <w:autoSpaceDN w:val="0"/>
        <w:adjustRightInd w:val="0"/>
        <w:spacing w:after="240"/>
        <w:ind w:left="709" w:hanging="709"/>
        <w:jc w:val="both"/>
      </w:pPr>
      <w:r w:rsidRPr="00017C91">
        <w:rPr>
          <w:b/>
        </w:rPr>
        <w:t>£0.534m</w:t>
      </w:r>
      <w:r>
        <w:t xml:space="preserve"> will be carried forward on various IT Projects.</w:t>
      </w:r>
    </w:p>
    <w:p w14:paraId="1F9572C2" w14:textId="77777777" w:rsidR="00A870EE" w:rsidRDefault="00A870EE" w:rsidP="00487842">
      <w:pPr>
        <w:autoSpaceDE w:val="0"/>
        <w:autoSpaceDN w:val="0"/>
        <w:adjustRightInd w:val="0"/>
        <w:spacing w:after="240"/>
        <w:jc w:val="both"/>
        <w:rPr>
          <w:b/>
          <w:u w:val="single"/>
        </w:rPr>
      </w:pPr>
    </w:p>
    <w:p w14:paraId="2D05ED1F" w14:textId="77777777" w:rsidR="002A6274" w:rsidRPr="00321915" w:rsidRDefault="002A6274" w:rsidP="00487842">
      <w:pPr>
        <w:autoSpaceDE w:val="0"/>
        <w:autoSpaceDN w:val="0"/>
        <w:adjustRightInd w:val="0"/>
        <w:spacing w:after="240"/>
        <w:jc w:val="both"/>
        <w:rPr>
          <w:b/>
          <w:u w:val="single"/>
        </w:rPr>
      </w:pPr>
      <w:r w:rsidRPr="00321915">
        <w:rPr>
          <w:b/>
          <w:u w:val="single"/>
        </w:rPr>
        <w:lastRenderedPageBreak/>
        <w:t>COMMUNITY DIRECTORATE</w:t>
      </w:r>
    </w:p>
    <w:p w14:paraId="576697CD" w14:textId="022655C9" w:rsidR="002A6274" w:rsidRPr="00B01AAD" w:rsidRDefault="00B01AAD" w:rsidP="00720057">
      <w:pPr>
        <w:pStyle w:val="ListParagraph"/>
        <w:numPr>
          <w:ilvl w:val="1"/>
          <w:numId w:val="9"/>
        </w:numPr>
        <w:autoSpaceDE w:val="0"/>
        <w:autoSpaceDN w:val="0"/>
        <w:adjustRightInd w:val="0"/>
        <w:spacing w:after="120"/>
        <w:ind w:left="709" w:hanging="709"/>
        <w:jc w:val="both"/>
      </w:pPr>
      <w:r>
        <w:rPr>
          <w:bCs/>
        </w:rPr>
        <w:t xml:space="preserve">As at Quarter </w:t>
      </w:r>
      <w:r w:rsidR="005D14A7">
        <w:rPr>
          <w:bCs/>
        </w:rPr>
        <w:t>3</w:t>
      </w:r>
      <w:r w:rsidR="002C3AEC" w:rsidRPr="00B01AAD">
        <w:rPr>
          <w:bCs/>
        </w:rPr>
        <w:t xml:space="preserve"> the forecast is £</w:t>
      </w:r>
      <w:r w:rsidRPr="00B01AAD">
        <w:rPr>
          <w:bCs/>
        </w:rPr>
        <w:t>43.1</w:t>
      </w:r>
      <w:r w:rsidR="005D14A7">
        <w:rPr>
          <w:bCs/>
        </w:rPr>
        <w:t>22</w:t>
      </w:r>
      <w:r w:rsidRPr="00B01AAD">
        <w:rPr>
          <w:bCs/>
        </w:rPr>
        <w:t>m, 87</w:t>
      </w:r>
      <w:r w:rsidR="002A6274" w:rsidRPr="00B01AAD">
        <w:rPr>
          <w:bCs/>
        </w:rPr>
        <w:t>% of the total budget.</w:t>
      </w:r>
    </w:p>
    <w:p w14:paraId="554B1481" w14:textId="445E69E5" w:rsidR="00834936" w:rsidRDefault="002A6274" w:rsidP="00487842">
      <w:pPr>
        <w:pStyle w:val="ListParagraph"/>
        <w:numPr>
          <w:ilvl w:val="1"/>
          <w:numId w:val="9"/>
        </w:numPr>
        <w:autoSpaceDE w:val="0"/>
        <w:autoSpaceDN w:val="0"/>
        <w:adjustRightInd w:val="0"/>
        <w:spacing w:after="240"/>
        <w:ind w:left="709" w:hanging="709"/>
        <w:jc w:val="both"/>
        <w:rPr>
          <w:bCs/>
        </w:rPr>
      </w:pPr>
      <w:r w:rsidRPr="00B01AAD">
        <w:rPr>
          <w:bCs/>
        </w:rPr>
        <w:t>Th</w:t>
      </w:r>
      <w:r w:rsidR="00834936">
        <w:rPr>
          <w:bCs/>
        </w:rPr>
        <w:t>e forecast v</w:t>
      </w:r>
      <w:r w:rsidR="00E92D72">
        <w:rPr>
          <w:bCs/>
        </w:rPr>
        <w:t>ariance</w:t>
      </w:r>
      <w:r w:rsidR="00FC5307" w:rsidRPr="00B01AAD">
        <w:rPr>
          <w:bCs/>
        </w:rPr>
        <w:t xml:space="preserve"> is £</w:t>
      </w:r>
      <w:r w:rsidR="00B01AAD" w:rsidRPr="00B01AAD">
        <w:rPr>
          <w:bCs/>
        </w:rPr>
        <w:t>6.</w:t>
      </w:r>
      <w:r w:rsidR="000B5FC8">
        <w:rPr>
          <w:bCs/>
        </w:rPr>
        <w:t>712</w:t>
      </w:r>
      <w:r w:rsidR="00B01AAD" w:rsidRPr="00B01AAD">
        <w:rPr>
          <w:bCs/>
        </w:rPr>
        <w:t>m of which £</w:t>
      </w:r>
      <w:r w:rsidR="000B5FC8">
        <w:rPr>
          <w:bCs/>
        </w:rPr>
        <w:t>6.553</w:t>
      </w:r>
      <w:r w:rsidRPr="00B01AAD">
        <w:rPr>
          <w:bCs/>
        </w:rPr>
        <w:t>m w</w:t>
      </w:r>
      <w:r w:rsidR="00FC5307" w:rsidRPr="00B01AAD">
        <w:rPr>
          <w:bCs/>
        </w:rPr>
        <w:t>ill be slipped to 20</w:t>
      </w:r>
      <w:r w:rsidRPr="00B01AAD">
        <w:rPr>
          <w:bCs/>
        </w:rPr>
        <w:t>17</w:t>
      </w:r>
      <w:r w:rsidR="00530FB2">
        <w:rPr>
          <w:bCs/>
        </w:rPr>
        <w:t>/</w:t>
      </w:r>
      <w:r w:rsidR="00834936">
        <w:rPr>
          <w:bCs/>
        </w:rPr>
        <w:t>18 and the remaining £0.159m budget will no longer be required.</w:t>
      </w:r>
    </w:p>
    <w:p w14:paraId="15DA6FA3" w14:textId="3C5E86B5" w:rsidR="002A6274" w:rsidRPr="00B01AAD" w:rsidRDefault="002A6274" w:rsidP="00487842">
      <w:pPr>
        <w:pStyle w:val="ListParagraph"/>
        <w:numPr>
          <w:ilvl w:val="1"/>
          <w:numId w:val="9"/>
        </w:numPr>
        <w:autoSpaceDE w:val="0"/>
        <w:autoSpaceDN w:val="0"/>
        <w:adjustRightInd w:val="0"/>
        <w:spacing w:after="240"/>
        <w:ind w:left="709" w:hanging="709"/>
        <w:jc w:val="both"/>
        <w:rPr>
          <w:bCs/>
        </w:rPr>
      </w:pPr>
      <w:r w:rsidRPr="00B01AAD">
        <w:rPr>
          <w:bCs/>
        </w:rPr>
        <w:t>The main items of slippage</w:t>
      </w:r>
      <w:r w:rsidR="00530FB2">
        <w:rPr>
          <w:bCs/>
        </w:rPr>
        <w:t xml:space="preserve"> </w:t>
      </w:r>
      <w:r w:rsidRPr="00B01AAD">
        <w:rPr>
          <w:bCs/>
        </w:rPr>
        <w:t>and underspend are detailed below:</w:t>
      </w:r>
    </w:p>
    <w:p w14:paraId="77F983B9" w14:textId="77777777" w:rsidR="002A6274" w:rsidRPr="00A870EE" w:rsidRDefault="002A6274" w:rsidP="00487842">
      <w:pPr>
        <w:autoSpaceDE w:val="0"/>
        <w:autoSpaceDN w:val="0"/>
        <w:adjustRightInd w:val="0"/>
        <w:spacing w:after="240"/>
        <w:ind w:left="709"/>
        <w:jc w:val="both"/>
        <w:rPr>
          <w:u w:val="single"/>
        </w:rPr>
      </w:pPr>
      <w:r w:rsidRPr="00A870EE">
        <w:rPr>
          <w:u w:val="single"/>
        </w:rPr>
        <w:t>Environment &amp; Commissioning</w:t>
      </w:r>
    </w:p>
    <w:p w14:paraId="3A3F434C" w14:textId="16D954B8" w:rsidR="002A6274" w:rsidRPr="00090F94" w:rsidRDefault="005D14A7" w:rsidP="00720057">
      <w:pPr>
        <w:pStyle w:val="ListParagraph"/>
        <w:numPr>
          <w:ilvl w:val="1"/>
          <w:numId w:val="9"/>
        </w:numPr>
        <w:autoSpaceDE w:val="0"/>
        <w:autoSpaceDN w:val="0"/>
        <w:adjustRightInd w:val="0"/>
        <w:spacing w:after="120"/>
        <w:ind w:left="709" w:hanging="709"/>
        <w:jc w:val="both"/>
        <w:rPr>
          <w:bCs/>
        </w:rPr>
      </w:pPr>
      <w:r>
        <w:rPr>
          <w:bCs/>
        </w:rPr>
        <w:t xml:space="preserve"> </w:t>
      </w:r>
      <w:r w:rsidRPr="00090F94">
        <w:rPr>
          <w:bCs/>
        </w:rPr>
        <w:t>At Quarter 3</w:t>
      </w:r>
      <w:r w:rsidR="00B01AAD" w:rsidRPr="00090F94">
        <w:rPr>
          <w:bCs/>
        </w:rPr>
        <w:t xml:space="preserve"> </w:t>
      </w:r>
      <w:r w:rsidR="00FC5307" w:rsidRPr="00090F94">
        <w:rPr>
          <w:bCs/>
        </w:rPr>
        <w:t xml:space="preserve">the </w:t>
      </w:r>
      <w:r w:rsidR="00FA3412" w:rsidRPr="00090F94">
        <w:rPr>
          <w:bCs/>
        </w:rPr>
        <w:t xml:space="preserve">whole capital programme of </w:t>
      </w:r>
      <w:r w:rsidR="00FC5307" w:rsidRPr="00090F94">
        <w:rPr>
          <w:bCs/>
        </w:rPr>
        <w:t>£1</w:t>
      </w:r>
      <w:r w:rsidR="00B01AAD" w:rsidRPr="00090F94">
        <w:rPr>
          <w:bCs/>
        </w:rPr>
        <w:t>9.29</w:t>
      </w:r>
      <w:r w:rsidR="00D23EDC">
        <w:rPr>
          <w:bCs/>
        </w:rPr>
        <w:t>0</w:t>
      </w:r>
      <w:r w:rsidR="002A6274" w:rsidRPr="00090F94">
        <w:rPr>
          <w:bCs/>
        </w:rPr>
        <w:t>m</w:t>
      </w:r>
      <w:r w:rsidR="00FA3412" w:rsidRPr="00090F94">
        <w:rPr>
          <w:bCs/>
        </w:rPr>
        <w:t xml:space="preserve"> is </w:t>
      </w:r>
      <w:r w:rsidR="004333E4" w:rsidRPr="00090F94">
        <w:rPr>
          <w:bCs/>
        </w:rPr>
        <w:tab/>
      </w:r>
      <w:r w:rsidR="00FA3412" w:rsidRPr="00090F94">
        <w:rPr>
          <w:bCs/>
        </w:rPr>
        <w:t xml:space="preserve">expected </w:t>
      </w:r>
      <w:r w:rsidR="00F77E61" w:rsidRPr="00090F94">
        <w:rPr>
          <w:bCs/>
        </w:rPr>
        <w:t xml:space="preserve">to be spent </w:t>
      </w:r>
      <w:r w:rsidR="00FA3412" w:rsidRPr="00090F94">
        <w:rPr>
          <w:bCs/>
        </w:rPr>
        <w:t>this year.</w:t>
      </w:r>
    </w:p>
    <w:p w14:paraId="0B52C123" w14:textId="432FCA11" w:rsidR="00090F94" w:rsidRPr="00090F94" w:rsidRDefault="00090F94" w:rsidP="00720057">
      <w:pPr>
        <w:pStyle w:val="ListParagraph"/>
        <w:numPr>
          <w:ilvl w:val="1"/>
          <w:numId w:val="9"/>
        </w:numPr>
        <w:autoSpaceDE w:val="0"/>
        <w:autoSpaceDN w:val="0"/>
        <w:adjustRightInd w:val="0"/>
        <w:spacing w:after="120"/>
        <w:ind w:left="709" w:hanging="709"/>
        <w:jc w:val="both"/>
        <w:rPr>
          <w:bCs/>
        </w:rPr>
      </w:pPr>
      <w:r w:rsidRPr="00090F94">
        <w:t>At the end of Quarter 3, Environment &amp; Commissioning spent and/or committed £</w:t>
      </w:r>
      <w:r w:rsidR="00B45938">
        <w:t>16m (84%) of total budget of £19</w:t>
      </w:r>
      <w:r w:rsidRPr="00090F94">
        <w:t>m. This has exceeded the profiled budget at this time of the year, indicating that effective project delivery planning allows capital projects to be commenced and implemented at the front end of the financial year. The investment will improve the borough’s infrastructure and make significant contributions towards the delivery of the administration’s priorities in coming years.</w:t>
      </w:r>
    </w:p>
    <w:p w14:paraId="42AA3754" w14:textId="77777777" w:rsidR="00A870EE" w:rsidRDefault="00A870EE" w:rsidP="00487842">
      <w:pPr>
        <w:autoSpaceDE w:val="0"/>
        <w:autoSpaceDN w:val="0"/>
        <w:adjustRightInd w:val="0"/>
        <w:spacing w:after="240"/>
        <w:ind w:firstLine="709"/>
        <w:jc w:val="both"/>
        <w:rPr>
          <w:rFonts w:cs="Arial"/>
          <w:u w:val="single"/>
        </w:rPr>
      </w:pPr>
    </w:p>
    <w:p w14:paraId="43EF98DE" w14:textId="77777777" w:rsidR="002A6274" w:rsidRPr="00A870EE" w:rsidRDefault="002A6274" w:rsidP="00487842">
      <w:pPr>
        <w:autoSpaceDE w:val="0"/>
        <w:autoSpaceDN w:val="0"/>
        <w:adjustRightInd w:val="0"/>
        <w:spacing w:after="240"/>
        <w:ind w:firstLine="709"/>
        <w:jc w:val="both"/>
        <w:rPr>
          <w:rFonts w:cs="Arial"/>
          <w:u w:val="single"/>
        </w:rPr>
      </w:pPr>
      <w:r w:rsidRPr="00A870EE">
        <w:rPr>
          <w:rFonts w:cs="Arial"/>
          <w:u w:val="single"/>
        </w:rPr>
        <w:t>Culture</w:t>
      </w:r>
    </w:p>
    <w:p w14:paraId="752970E6" w14:textId="2D8A439F" w:rsidR="00FE6146" w:rsidRPr="00834936" w:rsidRDefault="00090F94" w:rsidP="00834936">
      <w:pPr>
        <w:pStyle w:val="ListParagraph"/>
        <w:numPr>
          <w:ilvl w:val="1"/>
          <w:numId w:val="9"/>
        </w:numPr>
        <w:autoSpaceDE w:val="0"/>
        <w:autoSpaceDN w:val="0"/>
        <w:adjustRightInd w:val="0"/>
        <w:spacing w:after="120"/>
        <w:ind w:left="644" w:hanging="644"/>
        <w:jc w:val="both"/>
        <w:rPr>
          <w:bCs/>
        </w:rPr>
      </w:pPr>
      <w:r w:rsidRPr="00090F94">
        <w:rPr>
          <w:bCs/>
        </w:rPr>
        <w:t>A</w:t>
      </w:r>
      <w:r w:rsidR="00B45938">
        <w:rPr>
          <w:bCs/>
        </w:rPr>
        <w:t>t Quarter 3 the forecast is £5.6</w:t>
      </w:r>
      <w:r w:rsidR="000B5FC8">
        <w:rPr>
          <w:bCs/>
        </w:rPr>
        <w:t>38</w:t>
      </w:r>
      <w:r w:rsidR="00834936">
        <w:rPr>
          <w:bCs/>
        </w:rPr>
        <w:t>m against the budget of £6.760m.The forecast variance (£1.123m</w:t>
      </w:r>
      <w:r w:rsidR="00493E11">
        <w:rPr>
          <w:bCs/>
        </w:rPr>
        <w:t>) will all be slipped into 2017/</w:t>
      </w:r>
      <w:r w:rsidR="00834936">
        <w:rPr>
          <w:bCs/>
        </w:rPr>
        <w:t>18.</w:t>
      </w:r>
      <w:r w:rsidR="00834936" w:rsidRPr="00834936">
        <w:rPr>
          <w:bCs/>
        </w:rPr>
        <w:t xml:space="preserve"> </w:t>
      </w:r>
    </w:p>
    <w:p w14:paraId="439291D7" w14:textId="77777777" w:rsidR="00090F94" w:rsidRPr="00090F94" w:rsidRDefault="00090F94" w:rsidP="00720057">
      <w:pPr>
        <w:pStyle w:val="ListParagraph"/>
        <w:numPr>
          <w:ilvl w:val="1"/>
          <w:numId w:val="9"/>
        </w:numPr>
        <w:autoSpaceDE w:val="0"/>
        <w:autoSpaceDN w:val="0"/>
        <w:adjustRightInd w:val="0"/>
        <w:spacing w:after="120"/>
        <w:ind w:left="709" w:hanging="709"/>
        <w:jc w:val="both"/>
        <w:rPr>
          <w:bCs/>
        </w:rPr>
      </w:pPr>
      <w:r w:rsidRPr="00090F94">
        <w:rPr>
          <w:bCs/>
        </w:rPr>
        <w:t>A couple of projects are delayed. The refurbishment of Kenton Library requires planning permission due to listed building status and therefore works are now planned for April 17.</w:t>
      </w:r>
    </w:p>
    <w:p w14:paraId="26D18727" w14:textId="18219608" w:rsidR="00090F94" w:rsidRPr="00090F94" w:rsidRDefault="00090F94" w:rsidP="00720057">
      <w:pPr>
        <w:pStyle w:val="ListParagraph"/>
        <w:numPr>
          <w:ilvl w:val="1"/>
          <w:numId w:val="9"/>
        </w:numPr>
        <w:autoSpaceDE w:val="0"/>
        <w:autoSpaceDN w:val="0"/>
        <w:adjustRightInd w:val="0"/>
        <w:spacing w:after="120"/>
        <w:ind w:left="709" w:hanging="709"/>
        <w:jc w:val="both"/>
        <w:rPr>
          <w:bCs/>
        </w:rPr>
      </w:pPr>
      <w:r w:rsidRPr="00090F94">
        <w:rPr>
          <w:bCs/>
        </w:rPr>
        <w:t xml:space="preserve">The capital grant of £1m to </w:t>
      </w:r>
      <w:proofErr w:type="spellStart"/>
      <w:r w:rsidRPr="00090F94">
        <w:rPr>
          <w:bCs/>
        </w:rPr>
        <w:t>Cultura</w:t>
      </w:r>
      <w:proofErr w:type="spellEnd"/>
      <w:r w:rsidRPr="00090F94">
        <w:rPr>
          <w:bCs/>
        </w:rPr>
        <w:t xml:space="preserve"> London as a contribution to the extension work of Elliot Hall was previously reported as an under</w:t>
      </w:r>
      <w:r w:rsidR="006379E1">
        <w:rPr>
          <w:bCs/>
        </w:rPr>
        <w:t xml:space="preserve"> </w:t>
      </w:r>
      <w:r w:rsidRPr="00090F94">
        <w:rPr>
          <w:bCs/>
        </w:rPr>
        <w:t>spend. Following Cabinet approval of the ‘Future Delivery of Arts and Heritage Service update and approval of lease length’ report in December, the budget is now required. However the delay in transferring the arts &amp; heritage services means that the capital grant will not be released until 2017/18 at the earliest.</w:t>
      </w:r>
    </w:p>
    <w:p w14:paraId="5B7A159E" w14:textId="74085BC6" w:rsidR="00090F94" w:rsidRPr="00090F94" w:rsidRDefault="00090F94" w:rsidP="00720057">
      <w:pPr>
        <w:pStyle w:val="ListParagraph"/>
        <w:numPr>
          <w:ilvl w:val="1"/>
          <w:numId w:val="9"/>
        </w:numPr>
        <w:autoSpaceDE w:val="0"/>
        <w:autoSpaceDN w:val="0"/>
        <w:adjustRightInd w:val="0"/>
        <w:spacing w:after="120"/>
        <w:ind w:left="709" w:hanging="709"/>
        <w:jc w:val="both"/>
        <w:rPr>
          <w:bCs/>
        </w:rPr>
      </w:pPr>
      <w:r w:rsidRPr="00090F94">
        <w:rPr>
          <w:bCs/>
        </w:rPr>
        <w:t xml:space="preserve">Some budget adjustments are required to bring the programme up to </w:t>
      </w:r>
      <w:r w:rsidRPr="00090F94">
        <w:rPr>
          <w:bCs/>
        </w:rPr>
        <w:tab/>
        <w:t xml:space="preserve">date, and these are detailed </w:t>
      </w:r>
      <w:r w:rsidR="00C45CF6" w:rsidRPr="00090F94">
        <w:rPr>
          <w:bCs/>
        </w:rPr>
        <w:t>below.</w:t>
      </w:r>
    </w:p>
    <w:p w14:paraId="33ADCC85" w14:textId="77777777" w:rsidR="004F46E4" w:rsidRDefault="004F46E4" w:rsidP="004F46E4">
      <w:pPr>
        <w:autoSpaceDE w:val="0"/>
        <w:autoSpaceDN w:val="0"/>
        <w:adjustRightInd w:val="0"/>
        <w:ind w:firstLine="709"/>
        <w:jc w:val="both"/>
        <w:rPr>
          <w:bCs/>
          <w:i/>
          <w:u w:val="single"/>
        </w:rPr>
      </w:pPr>
    </w:p>
    <w:p w14:paraId="1D5E0EB5" w14:textId="189E6909" w:rsidR="003C0668" w:rsidRPr="00090F94" w:rsidRDefault="00090F94" w:rsidP="00487842">
      <w:pPr>
        <w:autoSpaceDE w:val="0"/>
        <w:autoSpaceDN w:val="0"/>
        <w:adjustRightInd w:val="0"/>
        <w:spacing w:after="240"/>
        <w:ind w:firstLine="709"/>
        <w:jc w:val="both"/>
        <w:rPr>
          <w:bCs/>
          <w:i/>
          <w:u w:val="single"/>
        </w:rPr>
      </w:pPr>
      <w:r w:rsidRPr="00090F94">
        <w:rPr>
          <w:bCs/>
          <w:i/>
          <w:u w:val="single"/>
        </w:rPr>
        <w:t>BUDGET REDUCTION</w:t>
      </w:r>
    </w:p>
    <w:p w14:paraId="005F8BF7" w14:textId="77777777" w:rsidR="00090F94" w:rsidRPr="00090F94" w:rsidRDefault="00090F94" w:rsidP="00090F94">
      <w:pPr>
        <w:autoSpaceDE w:val="0"/>
        <w:autoSpaceDN w:val="0"/>
        <w:adjustRightInd w:val="0"/>
        <w:spacing w:after="120"/>
        <w:ind w:firstLine="709"/>
        <w:jc w:val="both"/>
        <w:rPr>
          <w:bCs/>
        </w:rPr>
      </w:pPr>
      <w:r w:rsidRPr="00090F94">
        <w:rPr>
          <w:bCs/>
        </w:rPr>
        <w:t xml:space="preserve">Headstone Manor </w:t>
      </w:r>
    </w:p>
    <w:p w14:paraId="00A2872D" w14:textId="60A8DE19" w:rsidR="00090F94" w:rsidRPr="00961707" w:rsidRDefault="00090F94" w:rsidP="00487842">
      <w:pPr>
        <w:pStyle w:val="ListParagraph"/>
        <w:numPr>
          <w:ilvl w:val="1"/>
          <w:numId w:val="9"/>
        </w:numPr>
        <w:ind w:left="709" w:hanging="709"/>
        <w:jc w:val="both"/>
        <w:rPr>
          <w:rFonts w:cs="Arial"/>
        </w:rPr>
      </w:pPr>
      <w:r w:rsidRPr="00090F94">
        <w:t>There is a total budget of £5.19m in the current capital programme for</w:t>
      </w:r>
      <w:r w:rsidR="00493E11">
        <w:t xml:space="preserve"> the</w:t>
      </w:r>
      <w:r w:rsidRPr="00090F94">
        <w:t xml:space="preserve"> Headstone Manor refurbishment project. This is largely funded by H</w:t>
      </w:r>
      <w:r w:rsidR="00493E11">
        <w:t xml:space="preserve">eritage </w:t>
      </w:r>
      <w:r w:rsidRPr="00090F94">
        <w:t>L</w:t>
      </w:r>
      <w:r w:rsidR="00493E11">
        <w:t xml:space="preserve">ottery </w:t>
      </w:r>
      <w:r w:rsidRPr="00090F94">
        <w:t>F</w:t>
      </w:r>
      <w:r w:rsidR="00493E11">
        <w:t>und</w:t>
      </w:r>
      <w:r w:rsidRPr="00090F94">
        <w:t xml:space="preserve"> and other external funders, with a contribution from the Council of £0.91m (£570k in the current capital programme and £340k capital funding in HLF reserves set aside in previous years). Apart from repair &amp; restoration work and the construction of a new welcome centre, the project also delivers new staff employment </w:t>
      </w:r>
      <w:r w:rsidRPr="00090F94">
        <w:lastRenderedPageBreak/>
        <w:t>and training, publicity, and other equipment &amp; materials, the costs of which are of revenue nature. It is therefore requested that the budget in th</w:t>
      </w:r>
      <w:r w:rsidR="00834936">
        <w:t xml:space="preserve">e capital programme is </w:t>
      </w:r>
      <w:r w:rsidRPr="00090F94">
        <w:t>t</w:t>
      </w:r>
      <w:r w:rsidR="00493E11">
        <w:t xml:space="preserve">o reflect the costs of construction </w:t>
      </w:r>
      <w:r w:rsidRPr="00090F94">
        <w:t>work and professional fees associated with this only, as per the table below</w:t>
      </w:r>
      <w:r w:rsidRPr="00CA1351">
        <w:rPr>
          <w:b/>
        </w:rPr>
        <w:t>.</w:t>
      </w:r>
    </w:p>
    <w:p w14:paraId="41563A28" w14:textId="77777777" w:rsidR="00961707" w:rsidRPr="00961707" w:rsidRDefault="00961707" w:rsidP="00961707">
      <w:pPr>
        <w:pStyle w:val="ListParagraph"/>
        <w:ind w:left="709"/>
        <w:jc w:val="both"/>
        <w:rPr>
          <w:rFonts w:cs="Arial"/>
        </w:rPr>
      </w:pPr>
    </w:p>
    <w:p w14:paraId="098E32C3" w14:textId="23A8176A" w:rsidR="00C45CF6" w:rsidRPr="00961707" w:rsidRDefault="006E46D0" w:rsidP="00C45CF6">
      <w:pPr>
        <w:pStyle w:val="ListParagraph"/>
        <w:numPr>
          <w:ilvl w:val="1"/>
          <w:numId w:val="9"/>
        </w:numPr>
        <w:ind w:left="709" w:hanging="709"/>
        <w:jc w:val="both"/>
        <w:rPr>
          <w:b/>
        </w:rPr>
      </w:pPr>
      <w:r>
        <w:rPr>
          <w:rFonts w:cs="Arial"/>
        </w:rPr>
        <w:t>The £1.490</w:t>
      </w:r>
      <w:r w:rsidR="00103D6D">
        <w:rPr>
          <w:rFonts w:cs="Arial"/>
        </w:rPr>
        <w:t>m</w:t>
      </w:r>
      <w:r w:rsidR="00961707" w:rsidRPr="00961707">
        <w:rPr>
          <w:rFonts w:cs="Arial"/>
        </w:rPr>
        <w:t xml:space="preserve"> reduction will remove the Revenue element that was previously included as capital</w:t>
      </w:r>
      <w:r w:rsidR="00103D6D">
        <w:rPr>
          <w:rFonts w:cs="Arial"/>
        </w:rPr>
        <w:t xml:space="preserve"> in the programme</w:t>
      </w:r>
      <w:r>
        <w:rPr>
          <w:rFonts w:cs="Arial"/>
        </w:rPr>
        <w:t>.</w:t>
      </w:r>
      <w:r w:rsidR="00277490">
        <w:rPr>
          <w:rFonts w:cs="Arial"/>
        </w:rPr>
        <w:t xml:space="preserve"> </w:t>
      </w:r>
    </w:p>
    <w:p w14:paraId="33B91760" w14:textId="77777777" w:rsidR="0029474D" w:rsidRDefault="0029474D" w:rsidP="004F46E4">
      <w:pPr>
        <w:pStyle w:val="ListParagraph"/>
        <w:ind w:left="709"/>
        <w:jc w:val="both"/>
        <w:rPr>
          <w:b/>
        </w:rPr>
      </w:pPr>
    </w:p>
    <w:tbl>
      <w:tblPr>
        <w:tblW w:w="7716" w:type="dxa"/>
        <w:tblInd w:w="525" w:type="dxa"/>
        <w:tblLook w:val="04A0" w:firstRow="1" w:lastRow="0" w:firstColumn="1" w:lastColumn="0" w:noHBand="0" w:noVBand="1"/>
      </w:tblPr>
      <w:tblGrid>
        <w:gridCol w:w="2445"/>
        <w:gridCol w:w="1552"/>
        <w:gridCol w:w="2274"/>
        <w:gridCol w:w="1445"/>
      </w:tblGrid>
      <w:tr w:rsidR="006E46D0" w:rsidRPr="006E46D0" w14:paraId="774F5F73" w14:textId="77777777" w:rsidTr="006E46D0">
        <w:trPr>
          <w:trHeight w:val="993"/>
        </w:trPr>
        <w:tc>
          <w:tcPr>
            <w:tcW w:w="24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E4C535" w14:textId="77777777" w:rsidR="006E46D0" w:rsidRPr="006E46D0" w:rsidRDefault="006E46D0" w:rsidP="006E46D0">
            <w:pPr>
              <w:rPr>
                <w:rFonts w:ascii="Calibri" w:hAnsi="Calibri" w:cs="Calibri"/>
                <w:b/>
                <w:bCs/>
                <w:color w:val="000000"/>
                <w:szCs w:val="24"/>
                <w:lang w:eastAsia="en-GB"/>
              </w:rPr>
            </w:pPr>
            <w:r w:rsidRPr="006E46D0">
              <w:rPr>
                <w:rFonts w:ascii="Calibri" w:hAnsi="Calibri" w:cs="Calibri"/>
                <w:b/>
                <w:bCs/>
                <w:color w:val="000000"/>
                <w:szCs w:val="24"/>
                <w:lang w:eastAsia="en-GB"/>
              </w:rPr>
              <w:t>Headstone Manor Refurbishment Project</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4C6E848E" w14:textId="77777777" w:rsidR="006E46D0" w:rsidRPr="006E46D0" w:rsidRDefault="006E46D0" w:rsidP="006E46D0">
            <w:pPr>
              <w:rPr>
                <w:rFonts w:ascii="Calibri" w:hAnsi="Calibri" w:cs="Calibri"/>
                <w:b/>
                <w:bCs/>
                <w:color w:val="000000"/>
                <w:szCs w:val="24"/>
                <w:lang w:eastAsia="en-GB"/>
              </w:rPr>
            </w:pPr>
            <w:r w:rsidRPr="006E46D0">
              <w:rPr>
                <w:rFonts w:ascii="Calibri" w:hAnsi="Calibri" w:cs="Calibri"/>
                <w:b/>
                <w:bCs/>
                <w:color w:val="000000"/>
                <w:szCs w:val="24"/>
                <w:lang w:eastAsia="en-GB"/>
              </w:rPr>
              <w:t>Gross value</w:t>
            </w: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46E010A1" w14:textId="77777777" w:rsidR="006E46D0" w:rsidRPr="006E46D0" w:rsidRDefault="006E46D0" w:rsidP="006E46D0">
            <w:pPr>
              <w:rPr>
                <w:rFonts w:ascii="Calibri" w:hAnsi="Calibri" w:cs="Calibri"/>
                <w:b/>
                <w:bCs/>
                <w:color w:val="000000"/>
                <w:szCs w:val="24"/>
                <w:lang w:eastAsia="en-GB"/>
              </w:rPr>
            </w:pPr>
            <w:r w:rsidRPr="006E46D0">
              <w:rPr>
                <w:rFonts w:ascii="Calibri" w:hAnsi="Calibri" w:cs="Calibri"/>
                <w:b/>
                <w:bCs/>
                <w:color w:val="000000"/>
                <w:szCs w:val="24"/>
                <w:lang w:eastAsia="en-GB"/>
              </w:rPr>
              <w:t>External Funding</w:t>
            </w:r>
          </w:p>
        </w:tc>
        <w:tc>
          <w:tcPr>
            <w:tcW w:w="1445" w:type="dxa"/>
            <w:tcBorders>
              <w:top w:val="single" w:sz="8" w:space="0" w:color="auto"/>
              <w:left w:val="nil"/>
              <w:bottom w:val="single" w:sz="8" w:space="0" w:color="auto"/>
              <w:right w:val="single" w:sz="8" w:space="0" w:color="auto"/>
            </w:tcBorders>
            <w:shd w:val="clear" w:color="auto" w:fill="auto"/>
            <w:vAlign w:val="center"/>
            <w:hideMark/>
          </w:tcPr>
          <w:p w14:paraId="1CEAD08C" w14:textId="77777777" w:rsidR="006E46D0" w:rsidRPr="006E46D0" w:rsidRDefault="006E46D0" w:rsidP="006E46D0">
            <w:pPr>
              <w:rPr>
                <w:rFonts w:ascii="Calibri" w:hAnsi="Calibri" w:cs="Calibri"/>
                <w:b/>
                <w:bCs/>
                <w:color w:val="000000"/>
                <w:szCs w:val="24"/>
                <w:lang w:eastAsia="en-GB"/>
              </w:rPr>
            </w:pPr>
            <w:r w:rsidRPr="006E46D0">
              <w:rPr>
                <w:rFonts w:ascii="Calibri" w:hAnsi="Calibri" w:cs="Calibri"/>
                <w:b/>
                <w:bCs/>
                <w:color w:val="000000"/>
                <w:szCs w:val="24"/>
                <w:lang w:eastAsia="en-GB"/>
              </w:rPr>
              <w:t>Net value</w:t>
            </w:r>
          </w:p>
        </w:tc>
      </w:tr>
      <w:tr w:rsidR="006E46D0" w:rsidRPr="006E46D0" w14:paraId="38835745" w14:textId="77777777" w:rsidTr="006E46D0">
        <w:trPr>
          <w:trHeight w:val="341"/>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3B0DC1C1" w14:textId="77777777" w:rsidR="006E46D0" w:rsidRPr="006E46D0" w:rsidRDefault="006E46D0" w:rsidP="006E46D0">
            <w:pPr>
              <w:rPr>
                <w:rFonts w:ascii="Calibri" w:hAnsi="Calibri" w:cs="Calibri"/>
                <w:b/>
                <w:bCs/>
                <w:color w:val="000000"/>
                <w:szCs w:val="24"/>
                <w:lang w:eastAsia="en-GB"/>
              </w:rPr>
            </w:pPr>
            <w:r w:rsidRPr="006E46D0">
              <w:rPr>
                <w:rFonts w:ascii="Calibri" w:hAnsi="Calibri" w:cs="Calibri"/>
                <w:b/>
                <w:bCs/>
                <w:color w:val="000000"/>
                <w:szCs w:val="24"/>
                <w:lang w:eastAsia="en-GB"/>
              </w:rPr>
              <w:t> </w:t>
            </w:r>
          </w:p>
        </w:tc>
        <w:tc>
          <w:tcPr>
            <w:tcW w:w="1552" w:type="dxa"/>
            <w:tcBorders>
              <w:top w:val="nil"/>
              <w:left w:val="nil"/>
              <w:bottom w:val="single" w:sz="8" w:space="0" w:color="auto"/>
              <w:right w:val="single" w:sz="8" w:space="0" w:color="auto"/>
            </w:tcBorders>
            <w:shd w:val="clear" w:color="auto" w:fill="auto"/>
            <w:vAlign w:val="center"/>
            <w:hideMark/>
          </w:tcPr>
          <w:p w14:paraId="19CED013" w14:textId="77777777" w:rsidR="006E46D0" w:rsidRPr="006E46D0" w:rsidRDefault="006E46D0" w:rsidP="006E46D0">
            <w:pPr>
              <w:rPr>
                <w:rFonts w:ascii="Calibri" w:hAnsi="Calibri" w:cs="Calibri"/>
                <w:b/>
                <w:bCs/>
                <w:color w:val="000000"/>
                <w:szCs w:val="24"/>
                <w:lang w:eastAsia="en-GB"/>
              </w:rPr>
            </w:pPr>
            <w:r w:rsidRPr="006E46D0">
              <w:rPr>
                <w:rFonts w:ascii="Calibri" w:hAnsi="Calibri" w:cs="Calibri"/>
                <w:b/>
                <w:bCs/>
                <w:color w:val="000000"/>
                <w:szCs w:val="24"/>
                <w:lang w:eastAsia="en-GB"/>
              </w:rPr>
              <w:t>£</w:t>
            </w:r>
          </w:p>
        </w:tc>
        <w:tc>
          <w:tcPr>
            <w:tcW w:w="2274" w:type="dxa"/>
            <w:tcBorders>
              <w:top w:val="nil"/>
              <w:left w:val="nil"/>
              <w:bottom w:val="single" w:sz="8" w:space="0" w:color="auto"/>
              <w:right w:val="single" w:sz="8" w:space="0" w:color="auto"/>
            </w:tcBorders>
            <w:shd w:val="clear" w:color="auto" w:fill="auto"/>
            <w:vAlign w:val="center"/>
            <w:hideMark/>
          </w:tcPr>
          <w:p w14:paraId="2E111CE7" w14:textId="77777777" w:rsidR="006E46D0" w:rsidRPr="006E46D0" w:rsidRDefault="006E46D0" w:rsidP="006E46D0">
            <w:pPr>
              <w:rPr>
                <w:rFonts w:ascii="Calibri" w:hAnsi="Calibri" w:cs="Calibri"/>
                <w:b/>
                <w:bCs/>
                <w:color w:val="000000"/>
                <w:szCs w:val="24"/>
                <w:lang w:eastAsia="en-GB"/>
              </w:rPr>
            </w:pPr>
            <w:r w:rsidRPr="006E46D0">
              <w:rPr>
                <w:rFonts w:ascii="Calibri" w:hAnsi="Calibri" w:cs="Calibri"/>
                <w:b/>
                <w:bCs/>
                <w:color w:val="000000"/>
                <w:szCs w:val="24"/>
                <w:lang w:eastAsia="en-GB"/>
              </w:rPr>
              <w:t>£</w:t>
            </w:r>
          </w:p>
        </w:tc>
        <w:tc>
          <w:tcPr>
            <w:tcW w:w="1445" w:type="dxa"/>
            <w:tcBorders>
              <w:top w:val="nil"/>
              <w:left w:val="nil"/>
              <w:bottom w:val="single" w:sz="8" w:space="0" w:color="auto"/>
              <w:right w:val="single" w:sz="8" w:space="0" w:color="auto"/>
            </w:tcBorders>
            <w:shd w:val="clear" w:color="auto" w:fill="auto"/>
            <w:vAlign w:val="center"/>
            <w:hideMark/>
          </w:tcPr>
          <w:p w14:paraId="618EA601" w14:textId="77777777" w:rsidR="006E46D0" w:rsidRPr="006E46D0" w:rsidRDefault="006E46D0" w:rsidP="006E46D0">
            <w:pPr>
              <w:rPr>
                <w:rFonts w:ascii="Calibri" w:hAnsi="Calibri" w:cs="Calibri"/>
                <w:b/>
                <w:bCs/>
                <w:color w:val="000000"/>
                <w:szCs w:val="24"/>
                <w:lang w:eastAsia="en-GB"/>
              </w:rPr>
            </w:pPr>
            <w:r w:rsidRPr="006E46D0">
              <w:rPr>
                <w:rFonts w:ascii="Calibri" w:hAnsi="Calibri" w:cs="Calibri"/>
                <w:b/>
                <w:bCs/>
                <w:color w:val="000000"/>
                <w:szCs w:val="24"/>
                <w:lang w:eastAsia="en-GB"/>
              </w:rPr>
              <w:t>£</w:t>
            </w:r>
          </w:p>
        </w:tc>
      </w:tr>
      <w:tr w:rsidR="006E46D0" w:rsidRPr="006E46D0" w14:paraId="30072AD3" w14:textId="77777777" w:rsidTr="006E46D0">
        <w:trPr>
          <w:trHeight w:val="667"/>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21B7C2EB" w14:textId="77777777" w:rsidR="006E46D0" w:rsidRPr="006E46D0" w:rsidRDefault="006E46D0" w:rsidP="006E46D0">
            <w:pPr>
              <w:rPr>
                <w:rFonts w:ascii="Calibri" w:hAnsi="Calibri" w:cs="Calibri"/>
                <w:color w:val="000000"/>
                <w:szCs w:val="24"/>
                <w:lang w:eastAsia="en-GB"/>
              </w:rPr>
            </w:pPr>
            <w:r w:rsidRPr="006E46D0">
              <w:rPr>
                <w:rFonts w:ascii="Calibri" w:hAnsi="Calibri" w:cs="Calibri"/>
                <w:color w:val="000000"/>
                <w:szCs w:val="24"/>
                <w:lang w:eastAsia="en-GB"/>
              </w:rPr>
              <w:t>As per capital programme</w:t>
            </w:r>
          </w:p>
        </w:tc>
        <w:tc>
          <w:tcPr>
            <w:tcW w:w="1552" w:type="dxa"/>
            <w:tcBorders>
              <w:top w:val="nil"/>
              <w:left w:val="nil"/>
              <w:bottom w:val="single" w:sz="8" w:space="0" w:color="auto"/>
              <w:right w:val="single" w:sz="8" w:space="0" w:color="auto"/>
            </w:tcBorders>
            <w:shd w:val="clear" w:color="auto" w:fill="auto"/>
            <w:vAlign w:val="bottom"/>
            <w:hideMark/>
          </w:tcPr>
          <w:p w14:paraId="21BD6479" w14:textId="77777777" w:rsidR="006E46D0" w:rsidRPr="006E46D0" w:rsidRDefault="006E46D0" w:rsidP="006E46D0">
            <w:pPr>
              <w:jc w:val="right"/>
              <w:rPr>
                <w:rFonts w:ascii="Calibri" w:hAnsi="Calibri" w:cs="Calibri"/>
                <w:color w:val="000000"/>
                <w:szCs w:val="24"/>
                <w:lang w:eastAsia="en-GB"/>
              </w:rPr>
            </w:pPr>
            <w:r w:rsidRPr="006E46D0">
              <w:rPr>
                <w:rFonts w:ascii="Calibri" w:hAnsi="Calibri" w:cs="Calibri"/>
                <w:color w:val="000000"/>
                <w:szCs w:val="24"/>
                <w:lang w:eastAsia="en-GB"/>
              </w:rPr>
              <w:t>5,190,000</w:t>
            </w:r>
          </w:p>
        </w:tc>
        <w:tc>
          <w:tcPr>
            <w:tcW w:w="2274" w:type="dxa"/>
            <w:tcBorders>
              <w:top w:val="nil"/>
              <w:left w:val="nil"/>
              <w:bottom w:val="single" w:sz="8" w:space="0" w:color="auto"/>
              <w:right w:val="single" w:sz="8" w:space="0" w:color="auto"/>
            </w:tcBorders>
            <w:shd w:val="clear" w:color="auto" w:fill="auto"/>
            <w:vAlign w:val="bottom"/>
            <w:hideMark/>
          </w:tcPr>
          <w:p w14:paraId="79C44B26" w14:textId="77777777" w:rsidR="006E46D0" w:rsidRPr="006E46D0" w:rsidRDefault="006E46D0" w:rsidP="006E46D0">
            <w:pPr>
              <w:jc w:val="right"/>
              <w:rPr>
                <w:rFonts w:ascii="Calibri" w:hAnsi="Calibri" w:cs="Calibri"/>
                <w:color w:val="000000"/>
                <w:szCs w:val="24"/>
                <w:lang w:eastAsia="en-GB"/>
              </w:rPr>
            </w:pPr>
            <w:r w:rsidRPr="006E46D0">
              <w:rPr>
                <w:rFonts w:ascii="Calibri" w:hAnsi="Calibri" w:cs="Calibri"/>
                <w:color w:val="000000"/>
                <w:szCs w:val="24"/>
                <w:lang w:eastAsia="en-GB"/>
              </w:rPr>
              <w:t>4,620,000</w:t>
            </w:r>
          </w:p>
        </w:tc>
        <w:tc>
          <w:tcPr>
            <w:tcW w:w="1445" w:type="dxa"/>
            <w:tcBorders>
              <w:top w:val="nil"/>
              <w:left w:val="nil"/>
              <w:bottom w:val="single" w:sz="8" w:space="0" w:color="auto"/>
              <w:right w:val="single" w:sz="8" w:space="0" w:color="auto"/>
            </w:tcBorders>
            <w:shd w:val="clear" w:color="auto" w:fill="auto"/>
            <w:vAlign w:val="bottom"/>
            <w:hideMark/>
          </w:tcPr>
          <w:p w14:paraId="7A83DECC" w14:textId="77777777" w:rsidR="006E46D0" w:rsidRPr="006E46D0" w:rsidRDefault="006E46D0" w:rsidP="006E46D0">
            <w:pPr>
              <w:jc w:val="right"/>
              <w:rPr>
                <w:rFonts w:ascii="Calibri" w:hAnsi="Calibri" w:cs="Calibri"/>
                <w:color w:val="000000"/>
                <w:szCs w:val="24"/>
                <w:lang w:eastAsia="en-GB"/>
              </w:rPr>
            </w:pPr>
            <w:r w:rsidRPr="006E46D0">
              <w:rPr>
                <w:rFonts w:ascii="Calibri" w:hAnsi="Calibri" w:cs="Calibri"/>
                <w:color w:val="000000"/>
                <w:szCs w:val="24"/>
                <w:lang w:eastAsia="en-GB"/>
              </w:rPr>
              <w:t>570,000</w:t>
            </w:r>
          </w:p>
        </w:tc>
      </w:tr>
      <w:tr w:rsidR="006E46D0" w:rsidRPr="006E46D0" w14:paraId="567FA347" w14:textId="77777777" w:rsidTr="006E46D0">
        <w:trPr>
          <w:trHeight w:val="667"/>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1E02BE17" w14:textId="77777777" w:rsidR="006E46D0" w:rsidRPr="006E46D0" w:rsidRDefault="006E46D0" w:rsidP="006E46D0">
            <w:pPr>
              <w:rPr>
                <w:rFonts w:ascii="Calibri" w:hAnsi="Calibri" w:cs="Calibri"/>
                <w:color w:val="000000"/>
                <w:szCs w:val="24"/>
                <w:lang w:eastAsia="en-GB"/>
              </w:rPr>
            </w:pPr>
            <w:r w:rsidRPr="006E46D0">
              <w:rPr>
                <w:rFonts w:ascii="Calibri" w:hAnsi="Calibri" w:cs="Calibri"/>
                <w:color w:val="000000"/>
                <w:szCs w:val="24"/>
                <w:lang w:eastAsia="en-GB"/>
              </w:rPr>
              <w:t>Proposed budget adjustments</w:t>
            </w:r>
          </w:p>
        </w:tc>
        <w:tc>
          <w:tcPr>
            <w:tcW w:w="1552" w:type="dxa"/>
            <w:tcBorders>
              <w:top w:val="nil"/>
              <w:left w:val="nil"/>
              <w:bottom w:val="single" w:sz="8" w:space="0" w:color="auto"/>
              <w:right w:val="single" w:sz="8" w:space="0" w:color="auto"/>
            </w:tcBorders>
            <w:shd w:val="clear" w:color="auto" w:fill="auto"/>
            <w:vAlign w:val="bottom"/>
            <w:hideMark/>
          </w:tcPr>
          <w:p w14:paraId="6A433F3C" w14:textId="77777777" w:rsidR="006E46D0" w:rsidRPr="006E46D0" w:rsidRDefault="006E46D0" w:rsidP="006E46D0">
            <w:pPr>
              <w:jc w:val="right"/>
              <w:rPr>
                <w:rFonts w:cs="Arial"/>
                <w:color w:val="000000"/>
                <w:szCs w:val="24"/>
                <w:lang w:eastAsia="en-GB"/>
              </w:rPr>
            </w:pPr>
            <w:r w:rsidRPr="006E46D0">
              <w:rPr>
                <w:rFonts w:cs="Arial"/>
                <w:color w:val="000000"/>
                <w:szCs w:val="24"/>
                <w:lang w:eastAsia="en-GB"/>
              </w:rPr>
              <w:t>-1,490,000</w:t>
            </w:r>
          </w:p>
        </w:tc>
        <w:tc>
          <w:tcPr>
            <w:tcW w:w="2274" w:type="dxa"/>
            <w:tcBorders>
              <w:top w:val="nil"/>
              <w:left w:val="nil"/>
              <w:bottom w:val="single" w:sz="8" w:space="0" w:color="auto"/>
              <w:right w:val="single" w:sz="8" w:space="0" w:color="auto"/>
            </w:tcBorders>
            <w:shd w:val="clear" w:color="auto" w:fill="auto"/>
            <w:vAlign w:val="bottom"/>
            <w:hideMark/>
          </w:tcPr>
          <w:p w14:paraId="30DDDA8E" w14:textId="77777777" w:rsidR="006E46D0" w:rsidRPr="006E46D0" w:rsidRDefault="006E46D0" w:rsidP="006E46D0">
            <w:pPr>
              <w:jc w:val="right"/>
              <w:rPr>
                <w:rFonts w:cs="Arial"/>
                <w:color w:val="000000"/>
                <w:szCs w:val="24"/>
                <w:lang w:eastAsia="en-GB"/>
              </w:rPr>
            </w:pPr>
            <w:r w:rsidRPr="006E46D0">
              <w:rPr>
                <w:rFonts w:cs="Arial"/>
                <w:color w:val="000000"/>
                <w:szCs w:val="24"/>
                <w:lang w:eastAsia="en-GB"/>
              </w:rPr>
              <w:t>-1,490,000</w:t>
            </w:r>
          </w:p>
        </w:tc>
        <w:tc>
          <w:tcPr>
            <w:tcW w:w="1445" w:type="dxa"/>
            <w:tcBorders>
              <w:top w:val="nil"/>
              <w:left w:val="nil"/>
              <w:bottom w:val="single" w:sz="8" w:space="0" w:color="auto"/>
              <w:right w:val="single" w:sz="8" w:space="0" w:color="auto"/>
            </w:tcBorders>
            <w:shd w:val="clear" w:color="auto" w:fill="auto"/>
            <w:vAlign w:val="center"/>
            <w:hideMark/>
          </w:tcPr>
          <w:p w14:paraId="4A1659CB" w14:textId="77777777" w:rsidR="006E46D0" w:rsidRPr="006E46D0" w:rsidRDefault="006E46D0" w:rsidP="006E46D0">
            <w:pPr>
              <w:jc w:val="center"/>
              <w:rPr>
                <w:rFonts w:ascii="Calibri" w:hAnsi="Calibri" w:cs="Calibri"/>
                <w:color w:val="000000"/>
                <w:szCs w:val="24"/>
                <w:lang w:eastAsia="en-GB"/>
              </w:rPr>
            </w:pPr>
            <w:r w:rsidRPr="006E46D0">
              <w:rPr>
                <w:rFonts w:ascii="Calibri" w:hAnsi="Calibri" w:cs="Calibri"/>
                <w:color w:val="000000"/>
                <w:szCs w:val="24"/>
                <w:lang w:eastAsia="en-GB"/>
              </w:rPr>
              <w:t>0</w:t>
            </w:r>
          </w:p>
        </w:tc>
      </w:tr>
      <w:tr w:rsidR="006E46D0" w:rsidRPr="006E46D0" w14:paraId="0B94F4EA" w14:textId="77777777" w:rsidTr="006E46D0">
        <w:trPr>
          <w:trHeight w:val="667"/>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79A7AF29" w14:textId="77777777" w:rsidR="006E46D0" w:rsidRPr="006E46D0" w:rsidRDefault="006E46D0" w:rsidP="006E46D0">
            <w:pPr>
              <w:rPr>
                <w:rFonts w:ascii="Calibri" w:hAnsi="Calibri" w:cs="Calibri"/>
                <w:b/>
                <w:bCs/>
                <w:color w:val="000000"/>
                <w:szCs w:val="24"/>
                <w:lang w:eastAsia="en-GB"/>
              </w:rPr>
            </w:pPr>
            <w:r w:rsidRPr="006E46D0">
              <w:rPr>
                <w:rFonts w:ascii="Calibri" w:hAnsi="Calibri" w:cs="Calibri"/>
                <w:b/>
                <w:bCs/>
                <w:color w:val="000000"/>
                <w:szCs w:val="24"/>
                <w:lang w:eastAsia="en-GB"/>
              </w:rPr>
              <w:t>Revised capital budget</w:t>
            </w:r>
          </w:p>
        </w:tc>
        <w:tc>
          <w:tcPr>
            <w:tcW w:w="1552" w:type="dxa"/>
            <w:tcBorders>
              <w:top w:val="nil"/>
              <w:left w:val="nil"/>
              <w:bottom w:val="single" w:sz="8" w:space="0" w:color="auto"/>
              <w:right w:val="single" w:sz="8" w:space="0" w:color="auto"/>
            </w:tcBorders>
            <w:shd w:val="clear" w:color="auto" w:fill="auto"/>
            <w:vAlign w:val="bottom"/>
            <w:hideMark/>
          </w:tcPr>
          <w:p w14:paraId="30F7A5F7" w14:textId="77777777" w:rsidR="006E46D0" w:rsidRPr="006E46D0" w:rsidRDefault="006E46D0" w:rsidP="006E46D0">
            <w:pPr>
              <w:jc w:val="right"/>
              <w:rPr>
                <w:rFonts w:ascii="Calibri" w:hAnsi="Calibri" w:cs="Calibri"/>
                <w:b/>
                <w:bCs/>
                <w:color w:val="000000"/>
                <w:szCs w:val="24"/>
                <w:lang w:eastAsia="en-GB"/>
              </w:rPr>
            </w:pPr>
            <w:r w:rsidRPr="006E46D0">
              <w:rPr>
                <w:rFonts w:ascii="Calibri" w:hAnsi="Calibri" w:cs="Calibri"/>
                <w:b/>
                <w:bCs/>
                <w:color w:val="000000"/>
                <w:szCs w:val="24"/>
                <w:lang w:eastAsia="en-GB"/>
              </w:rPr>
              <w:t>3,700,000</w:t>
            </w:r>
          </w:p>
        </w:tc>
        <w:tc>
          <w:tcPr>
            <w:tcW w:w="2274" w:type="dxa"/>
            <w:tcBorders>
              <w:top w:val="nil"/>
              <w:left w:val="nil"/>
              <w:bottom w:val="single" w:sz="8" w:space="0" w:color="auto"/>
              <w:right w:val="single" w:sz="8" w:space="0" w:color="auto"/>
            </w:tcBorders>
            <w:shd w:val="clear" w:color="auto" w:fill="auto"/>
            <w:vAlign w:val="bottom"/>
            <w:hideMark/>
          </w:tcPr>
          <w:p w14:paraId="27A6C821" w14:textId="77777777" w:rsidR="006E46D0" w:rsidRPr="006E46D0" w:rsidRDefault="006E46D0" w:rsidP="006E46D0">
            <w:pPr>
              <w:jc w:val="right"/>
              <w:rPr>
                <w:rFonts w:ascii="Calibri" w:hAnsi="Calibri" w:cs="Calibri"/>
                <w:b/>
                <w:bCs/>
                <w:color w:val="000000"/>
                <w:szCs w:val="24"/>
                <w:lang w:eastAsia="en-GB"/>
              </w:rPr>
            </w:pPr>
            <w:r w:rsidRPr="006E46D0">
              <w:rPr>
                <w:rFonts w:ascii="Calibri" w:hAnsi="Calibri" w:cs="Calibri"/>
                <w:b/>
                <w:bCs/>
                <w:color w:val="000000"/>
                <w:szCs w:val="24"/>
                <w:lang w:eastAsia="en-GB"/>
              </w:rPr>
              <w:t>3,130,000</w:t>
            </w:r>
          </w:p>
        </w:tc>
        <w:tc>
          <w:tcPr>
            <w:tcW w:w="1445" w:type="dxa"/>
            <w:tcBorders>
              <w:top w:val="nil"/>
              <w:left w:val="nil"/>
              <w:bottom w:val="single" w:sz="8" w:space="0" w:color="auto"/>
              <w:right w:val="single" w:sz="8" w:space="0" w:color="auto"/>
            </w:tcBorders>
            <w:shd w:val="clear" w:color="auto" w:fill="auto"/>
            <w:vAlign w:val="bottom"/>
            <w:hideMark/>
          </w:tcPr>
          <w:p w14:paraId="445853D5" w14:textId="77777777" w:rsidR="006E46D0" w:rsidRPr="006E46D0" w:rsidRDefault="006E46D0" w:rsidP="006E46D0">
            <w:pPr>
              <w:jc w:val="right"/>
              <w:rPr>
                <w:rFonts w:ascii="Calibri" w:hAnsi="Calibri" w:cs="Calibri"/>
                <w:b/>
                <w:bCs/>
                <w:color w:val="000000"/>
                <w:szCs w:val="24"/>
                <w:lang w:eastAsia="en-GB"/>
              </w:rPr>
            </w:pPr>
            <w:r w:rsidRPr="006E46D0">
              <w:rPr>
                <w:rFonts w:ascii="Calibri" w:hAnsi="Calibri" w:cs="Calibri"/>
                <w:b/>
                <w:bCs/>
                <w:color w:val="000000"/>
                <w:szCs w:val="24"/>
                <w:lang w:eastAsia="en-GB"/>
              </w:rPr>
              <w:t>570,000</w:t>
            </w:r>
          </w:p>
        </w:tc>
      </w:tr>
    </w:tbl>
    <w:p w14:paraId="5EC29CCF" w14:textId="77777777" w:rsidR="0029474D" w:rsidRDefault="0029474D" w:rsidP="00C45CF6">
      <w:pPr>
        <w:pStyle w:val="ListParagraph"/>
        <w:ind w:left="709"/>
        <w:jc w:val="both"/>
        <w:rPr>
          <w:b/>
        </w:rPr>
      </w:pPr>
    </w:p>
    <w:p w14:paraId="5BE0E744" w14:textId="77777777" w:rsidR="000A47D1" w:rsidRDefault="000A47D1" w:rsidP="00C45CF6">
      <w:pPr>
        <w:pStyle w:val="ListParagraph"/>
        <w:ind w:left="709"/>
        <w:jc w:val="both"/>
        <w:rPr>
          <w:b/>
        </w:rPr>
      </w:pPr>
    </w:p>
    <w:p w14:paraId="19DD36B0" w14:textId="67C56A6B" w:rsidR="00B45938" w:rsidRPr="00B45938" w:rsidRDefault="00B45938" w:rsidP="00B45938">
      <w:pPr>
        <w:pStyle w:val="ListParagraph"/>
        <w:ind w:left="360" w:firstLine="349"/>
        <w:rPr>
          <w:i/>
          <w:u w:val="single"/>
        </w:rPr>
      </w:pPr>
      <w:r w:rsidRPr="00B45938">
        <w:rPr>
          <w:i/>
          <w:u w:val="single"/>
        </w:rPr>
        <w:t>BUDGET RE-PROFILING</w:t>
      </w:r>
    </w:p>
    <w:p w14:paraId="32EC904C" w14:textId="77777777" w:rsidR="00B45938" w:rsidRPr="00B45938" w:rsidRDefault="00B45938" w:rsidP="00B45938">
      <w:pPr>
        <w:pStyle w:val="ListParagraph"/>
        <w:ind w:left="709"/>
        <w:rPr>
          <w:b/>
          <w:u w:val="single"/>
        </w:rPr>
      </w:pPr>
    </w:p>
    <w:p w14:paraId="11541B06" w14:textId="1EBA97A0" w:rsidR="00C45CF6" w:rsidRPr="0066422F" w:rsidRDefault="0066422F" w:rsidP="0066422F">
      <w:pPr>
        <w:pStyle w:val="ListParagraph"/>
        <w:numPr>
          <w:ilvl w:val="1"/>
          <w:numId w:val="9"/>
        </w:numPr>
        <w:ind w:left="709" w:hanging="709"/>
        <w:rPr>
          <w:b/>
          <w:u w:val="single"/>
        </w:rPr>
      </w:pPr>
      <w:r w:rsidRPr="00CC0EA5">
        <w:t>In additi</w:t>
      </w:r>
      <w:r w:rsidR="00493E11">
        <w:t xml:space="preserve">on, the Headstone Manor project is </w:t>
      </w:r>
      <w:r w:rsidRPr="00CC0EA5">
        <w:t>a multiple-year project with the completion of physical work anticipated in 2018/19. It is recommended that the revised capital budget is profiled to reflect the delivery timetable</w:t>
      </w:r>
      <w:r w:rsidR="00834936">
        <w:t xml:space="preserve"> and </w:t>
      </w:r>
      <w:r w:rsidR="00493E11">
        <w:t>will be included in the 2017/18</w:t>
      </w:r>
      <w:r w:rsidR="00834936">
        <w:t xml:space="preserve"> Capital Programme.</w:t>
      </w:r>
    </w:p>
    <w:p w14:paraId="29B61B2A" w14:textId="77777777" w:rsidR="0066422F" w:rsidRDefault="0066422F" w:rsidP="0066422F">
      <w:pPr>
        <w:rPr>
          <w:b/>
          <w:u w:val="single"/>
        </w:rPr>
      </w:pPr>
    </w:p>
    <w:p w14:paraId="55DD75FF" w14:textId="0CF944FC" w:rsidR="00961707" w:rsidRDefault="006E46D0" w:rsidP="0066422F">
      <w:pPr>
        <w:rPr>
          <w:b/>
          <w:u w:val="single"/>
        </w:rPr>
      </w:pPr>
      <w:r w:rsidRPr="006E46D0">
        <w:rPr>
          <w:noProof/>
          <w:lang w:eastAsia="en-GB"/>
        </w:rPr>
        <w:drawing>
          <wp:inline distT="0" distB="0" distL="0" distR="0" wp14:anchorId="03A377DD" wp14:editId="20634B9A">
            <wp:extent cx="5296277" cy="2043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7180" cy="2047338"/>
                    </a:xfrm>
                    <a:prstGeom prst="rect">
                      <a:avLst/>
                    </a:prstGeom>
                    <a:noFill/>
                    <a:ln>
                      <a:noFill/>
                    </a:ln>
                  </pic:spPr>
                </pic:pic>
              </a:graphicData>
            </a:graphic>
          </wp:inline>
        </w:drawing>
      </w:r>
    </w:p>
    <w:p w14:paraId="2C048DCE" w14:textId="77777777" w:rsidR="00961707" w:rsidRDefault="00961707" w:rsidP="0066422F">
      <w:pPr>
        <w:rPr>
          <w:b/>
          <w:u w:val="single"/>
        </w:rPr>
      </w:pPr>
    </w:p>
    <w:p w14:paraId="09DC7510" w14:textId="66667015" w:rsidR="0066422F" w:rsidRPr="0066422F" w:rsidRDefault="0066422F" w:rsidP="0066422F">
      <w:pPr>
        <w:pStyle w:val="ListParagraph"/>
        <w:numPr>
          <w:ilvl w:val="1"/>
          <w:numId w:val="9"/>
        </w:numPr>
        <w:ind w:left="709" w:hanging="709"/>
        <w:rPr>
          <w:b/>
          <w:u w:val="single"/>
        </w:rPr>
      </w:pPr>
      <w:r w:rsidRPr="0066422F">
        <w:t xml:space="preserve">Due to the delay in transferring the arts &amp; heritage services to </w:t>
      </w:r>
      <w:proofErr w:type="spellStart"/>
      <w:r w:rsidRPr="0066422F">
        <w:t>Cultura</w:t>
      </w:r>
      <w:proofErr w:type="spellEnd"/>
      <w:r w:rsidRPr="0066422F">
        <w:t xml:space="preserve"> London, the capital grant of £1m (approved by Cabinet in June) in relation to a contribution to the extension work to Elliot Hall will not be released until 2017/18 at the earliest. It is therefore requested that the budget of £1m is re-profiled to 2017/18</w:t>
      </w:r>
      <w:r>
        <w:t>.</w:t>
      </w:r>
    </w:p>
    <w:p w14:paraId="4F73559C" w14:textId="77777777" w:rsidR="0066422F" w:rsidRDefault="0066422F" w:rsidP="0066422F">
      <w:pPr>
        <w:rPr>
          <w:b/>
          <w:u w:val="single"/>
        </w:rPr>
      </w:pPr>
    </w:p>
    <w:p w14:paraId="65CA61C9" w14:textId="77777777" w:rsidR="00C45CF6" w:rsidRPr="00A870EE" w:rsidRDefault="00C45CF6" w:rsidP="00C45CF6">
      <w:pPr>
        <w:pStyle w:val="ListParagraph"/>
        <w:ind w:left="709"/>
        <w:rPr>
          <w:u w:val="single"/>
        </w:rPr>
      </w:pPr>
      <w:r w:rsidRPr="00A870EE">
        <w:rPr>
          <w:u w:val="single"/>
        </w:rPr>
        <w:t>Housing General Fund</w:t>
      </w:r>
    </w:p>
    <w:p w14:paraId="2F3E1A37" w14:textId="77777777" w:rsidR="00C45CF6" w:rsidRDefault="00C45CF6" w:rsidP="00C45CF6">
      <w:pPr>
        <w:pStyle w:val="ListParagraph"/>
        <w:ind w:left="709"/>
        <w:jc w:val="both"/>
        <w:rPr>
          <w:b/>
        </w:rPr>
      </w:pPr>
    </w:p>
    <w:p w14:paraId="2D2CA191" w14:textId="32678799" w:rsidR="00CA1351" w:rsidRPr="00C45CF6" w:rsidRDefault="00C45CF6" w:rsidP="00487842">
      <w:pPr>
        <w:pStyle w:val="ListParagraph"/>
        <w:numPr>
          <w:ilvl w:val="1"/>
          <w:numId w:val="9"/>
        </w:numPr>
        <w:ind w:left="709" w:hanging="709"/>
        <w:jc w:val="both"/>
        <w:rPr>
          <w:rFonts w:cs="Arial"/>
        </w:rPr>
      </w:pPr>
      <w:r w:rsidRPr="00C45CF6">
        <w:rPr>
          <w:rFonts w:cs="Arial"/>
          <w:bCs/>
        </w:rPr>
        <w:t>As at Quarter 3 the forecast spend is £18.19</w:t>
      </w:r>
      <w:r w:rsidR="00493E11">
        <w:rPr>
          <w:rFonts w:cs="Arial"/>
          <w:bCs/>
        </w:rPr>
        <w:t>5m, 76% of the 2016/17 Housing General F</w:t>
      </w:r>
      <w:r w:rsidRPr="00C45CF6">
        <w:rPr>
          <w:rFonts w:cs="Arial"/>
          <w:bCs/>
        </w:rPr>
        <w:t xml:space="preserve">und capital budget. The forecast </w:t>
      </w:r>
      <w:r w:rsidR="00834936">
        <w:rPr>
          <w:rFonts w:cs="Arial"/>
          <w:bCs/>
        </w:rPr>
        <w:t xml:space="preserve">variance is </w:t>
      </w:r>
      <w:r w:rsidR="00834936">
        <w:rPr>
          <w:rFonts w:cs="Arial"/>
          <w:bCs/>
        </w:rPr>
        <w:lastRenderedPageBreak/>
        <w:t>(</w:t>
      </w:r>
      <w:r w:rsidRPr="00C45CF6">
        <w:rPr>
          <w:rFonts w:cs="Arial"/>
          <w:bCs/>
        </w:rPr>
        <w:t>£5.589m</w:t>
      </w:r>
      <w:r w:rsidR="00834936">
        <w:rPr>
          <w:rFonts w:cs="Arial"/>
          <w:bCs/>
        </w:rPr>
        <w:t>)</w:t>
      </w:r>
      <w:r w:rsidRPr="00C45CF6">
        <w:rPr>
          <w:rFonts w:cs="Arial"/>
          <w:bCs/>
        </w:rPr>
        <w:t xml:space="preserve"> </w:t>
      </w:r>
      <w:r w:rsidR="00834936">
        <w:rPr>
          <w:rFonts w:cs="Arial"/>
          <w:bCs/>
        </w:rPr>
        <w:t xml:space="preserve">of which (£5.430m) </w:t>
      </w:r>
      <w:r w:rsidRPr="00C45CF6">
        <w:rPr>
          <w:rFonts w:cs="Arial"/>
          <w:bCs/>
        </w:rPr>
        <w:t xml:space="preserve">is </w:t>
      </w:r>
      <w:r w:rsidR="000131B9">
        <w:rPr>
          <w:rFonts w:cs="Arial"/>
          <w:bCs/>
        </w:rPr>
        <w:t>requested to be slipped to 2017/</w:t>
      </w:r>
      <w:r w:rsidRPr="00C45CF6">
        <w:rPr>
          <w:rFonts w:cs="Arial"/>
          <w:bCs/>
        </w:rPr>
        <w:t xml:space="preserve">18 and </w:t>
      </w:r>
      <w:r w:rsidR="00C4209C">
        <w:rPr>
          <w:rFonts w:cs="Arial"/>
          <w:bCs/>
        </w:rPr>
        <w:t xml:space="preserve">the remaining </w:t>
      </w:r>
      <w:r w:rsidRPr="00C45CF6">
        <w:rPr>
          <w:rFonts w:cs="Arial"/>
          <w:bCs/>
        </w:rPr>
        <w:t>£0.159m can be remove</w:t>
      </w:r>
      <w:r w:rsidR="00834936">
        <w:rPr>
          <w:rFonts w:cs="Arial"/>
          <w:bCs/>
        </w:rPr>
        <w:t>d</w:t>
      </w:r>
      <w:r w:rsidRPr="00C45CF6">
        <w:rPr>
          <w:rFonts w:cs="Arial"/>
          <w:bCs/>
        </w:rPr>
        <w:t xml:space="preserve"> from the Capital Programme</w:t>
      </w:r>
      <w:r>
        <w:rPr>
          <w:rFonts w:cs="Arial"/>
          <w:bCs/>
        </w:rPr>
        <w:t>.</w:t>
      </w:r>
    </w:p>
    <w:p w14:paraId="60787E32" w14:textId="77777777" w:rsidR="00C45CF6" w:rsidRPr="00C45CF6" w:rsidRDefault="00C45CF6" w:rsidP="00C45CF6">
      <w:pPr>
        <w:pStyle w:val="ListParagraph"/>
        <w:ind w:left="709"/>
        <w:jc w:val="both"/>
        <w:rPr>
          <w:rFonts w:cs="Arial"/>
        </w:rPr>
      </w:pPr>
    </w:p>
    <w:p w14:paraId="0C10A8E4" w14:textId="55B5327A" w:rsidR="00C45CF6" w:rsidRPr="00CA1351" w:rsidRDefault="00C45CF6" w:rsidP="00487842">
      <w:pPr>
        <w:pStyle w:val="ListParagraph"/>
        <w:numPr>
          <w:ilvl w:val="1"/>
          <w:numId w:val="9"/>
        </w:numPr>
        <w:ind w:left="709" w:hanging="709"/>
        <w:jc w:val="both"/>
        <w:rPr>
          <w:rFonts w:cs="Arial"/>
        </w:rPr>
      </w:pPr>
      <w:r w:rsidRPr="00C45CF6">
        <w:rPr>
          <w:rFonts w:cs="Arial"/>
        </w:rPr>
        <w:t>The spent and committed</w:t>
      </w:r>
      <w:r w:rsidR="00834936">
        <w:rPr>
          <w:rFonts w:cs="Arial"/>
        </w:rPr>
        <w:t xml:space="preserve"> expenditure </w:t>
      </w:r>
      <w:r w:rsidRPr="00C45CF6">
        <w:rPr>
          <w:rFonts w:cs="Arial"/>
        </w:rPr>
        <w:t xml:space="preserve">at Quarter 3 is £1.208k (49%) of total budget of £2.477m. Disabled Facilities Grants of £1.531m are expected to </w:t>
      </w:r>
      <w:r w:rsidR="00834936">
        <w:rPr>
          <w:rFonts w:cs="Arial"/>
        </w:rPr>
        <w:t>be spent</w:t>
      </w:r>
      <w:r w:rsidRPr="00C45CF6">
        <w:rPr>
          <w:rFonts w:cs="Arial"/>
        </w:rPr>
        <w:t xml:space="preserve"> in full. Spend on Empty Property Grants are expected to be £0.320m below budget, of which £0.170m is expected to be carr</w:t>
      </w:r>
      <w:r w:rsidR="00493E11">
        <w:rPr>
          <w:rFonts w:cs="Arial"/>
        </w:rPr>
        <w:t>ied over to financial year 2017/</w:t>
      </w:r>
      <w:r w:rsidRPr="00C45CF6">
        <w:rPr>
          <w:rFonts w:cs="Arial"/>
        </w:rPr>
        <w:t>18 leaving an underspend of £0.150m and this is set out in the capital programme reported elsewhere in the agenda</w:t>
      </w:r>
      <w:r>
        <w:rPr>
          <w:rFonts w:cs="Arial"/>
        </w:rPr>
        <w:t>.</w:t>
      </w:r>
    </w:p>
    <w:p w14:paraId="41DE5E78" w14:textId="77777777" w:rsidR="00CA1351" w:rsidRDefault="00CA1351" w:rsidP="00CA1351">
      <w:pPr>
        <w:jc w:val="both"/>
        <w:rPr>
          <w:rFonts w:cs="Arial"/>
        </w:rPr>
      </w:pPr>
    </w:p>
    <w:p w14:paraId="5D142233" w14:textId="77777777" w:rsidR="00D63890" w:rsidRDefault="00D63890" w:rsidP="00487842">
      <w:pPr>
        <w:pStyle w:val="ListParagraph"/>
        <w:keepNext/>
        <w:ind w:left="360" w:firstLine="349"/>
        <w:jc w:val="both"/>
        <w:rPr>
          <w:i/>
          <w:color w:val="000000"/>
          <w:u w:val="single"/>
        </w:rPr>
      </w:pPr>
      <w:r w:rsidRPr="00022436">
        <w:rPr>
          <w:i/>
          <w:color w:val="000000"/>
          <w:u w:val="single"/>
        </w:rPr>
        <w:t>Housing Property Purchase Initiative</w:t>
      </w:r>
    </w:p>
    <w:p w14:paraId="4876F6CC" w14:textId="77777777" w:rsidR="008B678B" w:rsidRPr="00022436" w:rsidRDefault="008B678B" w:rsidP="00487842">
      <w:pPr>
        <w:pStyle w:val="ListParagraph"/>
        <w:keepNext/>
        <w:ind w:left="360" w:firstLine="349"/>
        <w:jc w:val="both"/>
        <w:rPr>
          <w:i/>
          <w:color w:val="000000"/>
          <w:u w:val="single"/>
        </w:rPr>
      </w:pPr>
    </w:p>
    <w:p w14:paraId="4141BD32" w14:textId="2F1F7474" w:rsidR="00D63890" w:rsidRPr="00A870EE" w:rsidRDefault="003F2D68" w:rsidP="00487842">
      <w:pPr>
        <w:pStyle w:val="ListParagraph"/>
        <w:numPr>
          <w:ilvl w:val="1"/>
          <w:numId w:val="9"/>
        </w:numPr>
        <w:autoSpaceDE w:val="0"/>
        <w:autoSpaceDN w:val="0"/>
        <w:adjustRightInd w:val="0"/>
        <w:spacing w:after="240"/>
        <w:ind w:left="709" w:hanging="709"/>
        <w:jc w:val="both"/>
        <w:rPr>
          <w:bCs/>
        </w:rPr>
      </w:pPr>
      <w:r w:rsidRPr="00022436">
        <w:t>At Quarter 3</w:t>
      </w:r>
      <w:r w:rsidR="00D63890" w:rsidRPr="00022436">
        <w:t>, the Housing Property Purchase</w:t>
      </w:r>
      <w:r w:rsidRPr="00022436">
        <w:t xml:space="preserve"> Initiative </w:t>
      </w:r>
      <w:r w:rsidR="00363AAE" w:rsidRPr="00022436">
        <w:t>spen</w:t>
      </w:r>
      <w:r w:rsidR="00363AAE">
        <w:t>ds</w:t>
      </w:r>
      <w:r w:rsidR="00834936">
        <w:t xml:space="preserve"> and </w:t>
      </w:r>
      <w:r w:rsidRPr="00022436">
        <w:t>committed</w:t>
      </w:r>
      <w:r w:rsidR="00834936">
        <w:t xml:space="preserve"> expenditure is </w:t>
      </w:r>
      <w:r w:rsidRPr="00022436">
        <w:t>£9.136</w:t>
      </w:r>
      <w:r w:rsidR="00630A2C" w:rsidRPr="00022436">
        <w:t>m</w:t>
      </w:r>
      <w:r w:rsidRPr="00022436">
        <w:t xml:space="preserve"> (43</w:t>
      </w:r>
      <w:r w:rsidR="00D63890" w:rsidRPr="00022436">
        <w:t>%) of total</w:t>
      </w:r>
      <w:r w:rsidR="00834936">
        <w:t xml:space="preserve"> the</w:t>
      </w:r>
      <w:r w:rsidR="00D63890" w:rsidRPr="00022436">
        <w:t xml:space="preserve"> budget of £21</w:t>
      </w:r>
      <w:r w:rsidR="00630A2C" w:rsidRPr="00022436">
        <w:t>.</w:t>
      </w:r>
      <w:r w:rsidR="00D63890" w:rsidRPr="00022436">
        <w:t>307</w:t>
      </w:r>
      <w:r w:rsidR="00630A2C" w:rsidRPr="00022436">
        <w:t>m</w:t>
      </w:r>
      <w:r w:rsidR="00D63890" w:rsidRPr="00022436">
        <w:t xml:space="preserve">. </w:t>
      </w:r>
      <w:r w:rsidR="00834936">
        <w:t xml:space="preserve">The forecast </w:t>
      </w:r>
      <w:r w:rsidR="001757AA" w:rsidRPr="00022436">
        <w:t xml:space="preserve">spend is </w:t>
      </w:r>
      <w:r w:rsidR="00022436" w:rsidRPr="00022436">
        <w:t>£16.138</w:t>
      </w:r>
      <w:r w:rsidR="00630A2C" w:rsidRPr="00022436">
        <w:t>m</w:t>
      </w:r>
      <w:r w:rsidR="008076EC" w:rsidRPr="00022436">
        <w:t xml:space="preserve"> with the remaining £5</w:t>
      </w:r>
      <w:r w:rsidR="00630A2C" w:rsidRPr="00022436">
        <w:t>.</w:t>
      </w:r>
      <w:r w:rsidR="00022436" w:rsidRPr="00022436">
        <w:t>169</w:t>
      </w:r>
      <w:r w:rsidR="00630A2C" w:rsidRPr="00022436">
        <w:t>m</w:t>
      </w:r>
      <w:r w:rsidR="008076EC" w:rsidRPr="00022436">
        <w:t xml:space="preserve"> carried over into </w:t>
      </w:r>
      <w:r w:rsidR="00B87DA1" w:rsidRPr="00022436">
        <w:t xml:space="preserve">the </w:t>
      </w:r>
      <w:r w:rsidR="008076EC" w:rsidRPr="00022436">
        <w:t>next</w:t>
      </w:r>
      <w:r w:rsidR="00B87DA1" w:rsidRPr="00022436">
        <w:t xml:space="preserve"> financial</w:t>
      </w:r>
      <w:r w:rsidR="008076EC" w:rsidRPr="00022436">
        <w:t xml:space="preserve"> year</w:t>
      </w:r>
      <w:r w:rsidR="00363AAE">
        <w:t xml:space="preserve">. The forecast </w:t>
      </w:r>
      <w:r w:rsidR="00363AAE" w:rsidRPr="00022436">
        <w:t>assumes</w:t>
      </w:r>
      <w:r w:rsidR="00D63890" w:rsidRPr="00022436">
        <w:t xml:space="preserve"> </w:t>
      </w:r>
      <w:r w:rsidR="00B87DA1" w:rsidRPr="00022436">
        <w:t xml:space="preserve">that </w:t>
      </w:r>
      <w:r w:rsidR="00D63890" w:rsidRPr="00022436">
        <w:t>57 properties will be purchased</w:t>
      </w:r>
      <w:r w:rsidR="00C4209C">
        <w:t xml:space="preserve"> by March 2017.</w:t>
      </w:r>
    </w:p>
    <w:p w14:paraId="43604F1F" w14:textId="77777777" w:rsidR="00A870EE" w:rsidRPr="00A870EE" w:rsidRDefault="00A870EE" w:rsidP="00A870EE">
      <w:pPr>
        <w:autoSpaceDE w:val="0"/>
        <w:autoSpaceDN w:val="0"/>
        <w:adjustRightInd w:val="0"/>
        <w:spacing w:after="240"/>
        <w:jc w:val="both"/>
        <w:rPr>
          <w:bCs/>
        </w:rPr>
      </w:pPr>
    </w:p>
    <w:p w14:paraId="59521CC4" w14:textId="77777777" w:rsidR="002A6274" w:rsidRPr="00F13EF5" w:rsidRDefault="002A6274" w:rsidP="00487842">
      <w:pPr>
        <w:autoSpaceDE w:val="0"/>
        <w:autoSpaceDN w:val="0"/>
        <w:adjustRightInd w:val="0"/>
        <w:spacing w:after="240"/>
        <w:jc w:val="both"/>
        <w:rPr>
          <w:b/>
          <w:u w:val="single"/>
        </w:rPr>
      </w:pPr>
      <w:r w:rsidRPr="00F13EF5">
        <w:rPr>
          <w:b/>
          <w:u w:val="single"/>
        </w:rPr>
        <w:t>PEOPLE</w:t>
      </w:r>
    </w:p>
    <w:p w14:paraId="3E2667AA" w14:textId="7AE0EE5A" w:rsidR="002A6274" w:rsidRPr="00440EBF" w:rsidRDefault="00F01D48" w:rsidP="00720057">
      <w:pPr>
        <w:pStyle w:val="ListParagraph"/>
        <w:numPr>
          <w:ilvl w:val="1"/>
          <w:numId w:val="9"/>
        </w:numPr>
        <w:autoSpaceDE w:val="0"/>
        <w:autoSpaceDN w:val="0"/>
        <w:adjustRightInd w:val="0"/>
        <w:spacing w:after="120"/>
        <w:ind w:left="709" w:hanging="709"/>
        <w:jc w:val="both"/>
        <w:rPr>
          <w:bCs/>
        </w:rPr>
      </w:pPr>
      <w:r>
        <w:rPr>
          <w:bCs/>
        </w:rPr>
        <w:t xml:space="preserve">At Quarter </w:t>
      </w:r>
      <w:r w:rsidR="00B960D4">
        <w:rPr>
          <w:bCs/>
        </w:rPr>
        <w:t>3</w:t>
      </w:r>
      <w:r w:rsidR="002A6274" w:rsidRPr="00440EBF">
        <w:rPr>
          <w:bCs/>
        </w:rPr>
        <w:t xml:space="preserve"> the forec</w:t>
      </w:r>
      <w:r w:rsidR="00FE6146" w:rsidRPr="008B25B2">
        <w:rPr>
          <w:bCs/>
        </w:rPr>
        <w:t xml:space="preserve">ast spend </w:t>
      </w:r>
      <w:r w:rsidR="00F023E2">
        <w:rPr>
          <w:bCs/>
        </w:rPr>
        <w:t>is £20.372m, 52</w:t>
      </w:r>
      <w:r w:rsidR="00FE6146" w:rsidRPr="008B25B2">
        <w:rPr>
          <w:bCs/>
        </w:rPr>
        <w:t>% of the 201</w:t>
      </w:r>
      <w:r w:rsidR="002A6274" w:rsidRPr="003728EE">
        <w:rPr>
          <w:bCs/>
        </w:rPr>
        <w:t>6</w:t>
      </w:r>
      <w:r w:rsidR="00FE6146" w:rsidRPr="008D4ADA">
        <w:rPr>
          <w:bCs/>
        </w:rPr>
        <w:t>/17</w:t>
      </w:r>
      <w:r w:rsidR="002A6274" w:rsidRPr="008D4ADA">
        <w:rPr>
          <w:bCs/>
        </w:rPr>
        <w:t xml:space="preserve"> </w:t>
      </w:r>
      <w:r w:rsidR="004E7C68">
        <w:rPr>
          <w:bCs/>
        </w:rPr>
        <w:tab/>
      </w:r>
      <w:r w:rsidR="002A6274" w:rsidRPr="0039329E">
        <w:rPr>
          <w:bCs/>
        </w:rPr>
        <w:t xml:space="preserve">People’s directorate capital budget. </w:t>
      </w:r>
    </w:p>
    <w:p w14:paraId="6263C424" w14:textId="522BC5B1" w:rsidR="002A6274" w:rsidRPr="00440EBF" w:rsidRDefault="002A6274" w:rsidP="00487842">
      <w:pPr>
        <w:pStyle w:val="ListParagraph"/>
        <w:numPr>
          <w:ilvl w:val="1"/>
          <w:numId w:val="9"/>
        </w:numPr>
        <w:autoSpaceDE w:val="0"/>
        <w:autoSpaceDN w:val="0"/>
        <w:adjustRightInd w:val="0"/>
        <w:spacing w:after="240"/>
        <w:ind w:left="709" w:hanging="709"/>
        <w:jc w:val="both"/>
        <w:rPr>
          <w:bCs/>
        </w:rPr>
      </w:pPr>
      <w:r w:rsidRPr="008B25B2">
        <w:rPr>
          <w:bCs/>
        </w:rPr>
        <w:t>The f</w:t>
      </w:r>
      <w:r w:rsidR="00493E11">
        <w:rPr>
          <w:bCs/>
        </w:rPr>
        <w:t>orecast under</w:t>
      </w:r>
      <w:r w:rsidR="006344AC">
        <w:rPr>
          <w:bCs/>
        </w:rPr>
        <w:t>sp</w:t>
      </w:r>
      <w:r w:rsidR="00F023E2">
        <w:rPr>
          <w:bCs/>
        </w:rPr>
        <w:t>end is £18.484</w:t>
      </w:r>
      <w:r w:rsidR="00493E11">
        <w:rPr>
          <w:bCs/>
        </w:rPr>
        <w:t>m</w:t>
      </w:r>
      <w:r w:rsidR="00B960D4">
        <w:rPr>
          <w:bCs/>
        </w:rPr>
        <w:t xml:space="preserve"> and will all be slipped into 2017/18.</w:t>
      </w:r>
      <w:r w:rsidRPr="008D4ADA">
        <w:rPr>
          <w:bCs/>
        </w:rPr>
        <w:t xml:space="preserve"> The main items of slippage </w:t>
      </w:r>
      <w:r w:rsidRPr="0039329E">
        <w:rPr>
          <w:bCs/>
        </w:rPr>
        <w:t>are detailed below:</w:t>
      </w:r>
    </w:p>
    <w:p w14:paraId="28687BAF" w14:textId="77777777" w:rsidR="002A6274" w:rsidRPr="0029474D" w:rsidRDefault="002A6274" w:rsidP="00487842">
      <w:pPr>
        <w:autoSpaceDE w:val="0"/>
        <w:autoSpaceDN w:val="0"/>
        <w:adjustRightInd w:val="0"/>
        <w:spacing w:after="240"/>
        <w:ind w:left="709"/>
        <w:jc w:val="both"/>
        <w:rPr>
          <w:bCs/>
          <w:u w:val="single"/>
        </w:rPr>
      </w:pPr>
      <w:r w:rsidRPr="0029474D">
        <w:rPr>
          <w:bCs/>
          <w:u w:val="single"/>
        </w:rPr>
        <w:t>Adults</w:t>
      </w:r>
    </w:p>
    <w:p w14:paraId="3118F796" w14:textId="00D36CCD" w:rsidR="006B1A1C" w:rsidRDefault="006B1A1C" w:rsidP="00720057">
      <w:pPr>
        <w:pStyle w:val="ListParagraph"/>
        <w:numPr>
          <w:ilvl w:val="1"/>
          <w:numId w:val="9"/>
        </w:numPr>
        <w:autoSpaceDE w:val="0"/>
        <w:autoSpaceDN w:val="0"/>
        <w:adjustRightInd w:val="0"/>
        <w:spacing w:after="120"/>
        <w:ind w:left="709" w:hanging="709"/>
        <w:jc w:val="both"/>
        <w:rPr>
          <w:bCs/>
        </w:rPr>
      </w:pPr>
      <w:r w:rsidRPr="006B1A1C">
        <w:rPr>
          <w:bCs/>
        </w:rPr>
        <w:t>A</w:t>
      </w:r>
      <w:r>
        <w:rPr>
          <w:bCs/>
        </w:rPr>
        <w:t xml:space="preserve">t </w:t>
      </w:r>
      <w:r w:rsidR="00493E11">
        <w:rPr>
          <w:bCs/>
        </w:rPr>
        <w:t>Quarter 3 the forecast is £0.981</w:t>
      </w:r>
      <w:r>
        <w:rPr>
          <w:bCs/>
        </w:rPr>
        <w:t>m against the budget of £2.</w:t>
      </w:r>
      <w:r w:rsidR="00493E11">
        <w:rPr>
          <w:bCs/>
        </w:rPr>
        <w:t>811m.The forecast variance (£1.8</w:t>
      </w:r>
      <w:r>
        <w:rPr>
          <w:bCs/>
        </w:rPr>
        <w:t>31</w:t>
      </w:r>
      <w:r w:rsidRPr="006B1A1C">
        <w:rPr>
          <w:bCs/>
        </w:rPr>
        <w:t>m</w:t>
      </w:r>
      <w:r w:rsidR="00493E11">
        <w:rPr>
          <w:bCs/>
        </w:rPr>
        <w:t>) will all be slipped into 2017/</w:t>
      </w:r>
      <w:r w:rsidRPr="006B1A1C">
        <w:rPr>
          <w:bCs/>
        </w:rPr>
        <w:t>18</w:t>
      </w:r>
      <w:r>
        <w:rPr>
          <w:bCs/>
        </w:rPr>
        <w:t>.</w:t>
      </w:r>
    </w:p>
    <w:p w14:paraId="216198A1" w14:textId="44604B5A" w:rsidR="006B1A1C" w:rsidRDefault="00493E11" w:rsidP="00720057">
      <w:pPr>
        <w:pStyle w:val="ListParagraph"/>
        <w:numPr>
          <w:ilvl w:val="1"/>
          <w:numId w:val="9"/>
        </w:numPr>
        <w:autoSpaceDE w:val="0"/>
        <w:autoSpaceDN w:val="0"/>
        <w:adjustRightInd w:val="0"/>
        <w:spacing w:after="120"/>
        <w:ind w:left="709" w:hanging="709"/>
        <w:jc w:val="both"/>
        <w:rPr>
          <w:bCs/>
        </w:rPr>
      </w:pPr>
      <w:r>
        <w:rPr>
          <w:bCs/>
        </w:rPr>
        <w:t>The main reasons for slippage are</w:t>
      </w:r>
      <w:r w:rsidR="006B1A1C">
        <w:rPr>
          <w:bCs/>
        </w:rPr>
        <w:t xml:space="preserve"> detailed as follows:</w:t>
      </w:r>
    </w:p>
    <w:p w14:paraId="7FCC0767" w14:textId="520D24F5" w:rsidR="00C45CF6" w:rsidRPr="0029474D" w:rsidRDefault="00C45CF6" w:rsidP="00720057">
      <w:pPr>
        <w:pStyle w:val="ListParagraph"/>
        <w:numPr>
          <w:ilvl w:val="1"/>
          <w:numId w:val="9"/>
        </w:numPr>
        <w:autoSpaceDE w:val="0"/>
        <w:autoSpaceDN w:val="0"/>
        <w:adjustRightInd w:val="0"/>
        <w:spacing w:after="120"/>
        <w:ind w:left="709" w:hanging="709"/>
        <w:jc w:val="both"/>
        <w:rPr>
          <w:bCs/>
        </w:rPr>
      </w:pPr>
      <w:r w:rsidRPr="0029474D">
        <w:rPr>
          <w:bCs/>
        </w:rPr>
        <w:t>Mosaic Implementation - £0.4</w:t>
      </w:r>
      <w:r w:rsidR="00493E11">
        <w:rPr>
          <w:bCs/>
        </w:rPr>
        <w:t>06m will be slipped into 2017/18</w:t>
      </w:r>
      <w:r w:rsidRPr="0029474D">
        <w:rPr>
          <w:bCs/>
        </w:rPr>
        <w:t xml:space="preserve"> for Mosaic system which is due to go live in April</w:t>
      </w:r>
      <w:r w:rsidR="00493E11">
        <w:rPr>
          <w:bCs/>
        </w:rPr>
        <w:t xml:space="preserve"> 2017</w:t>
      </w:r>
      <w:r w:rsidRPr="0029474D">
        <w:rPr>
          <w:bCs/>
        </w:rPr>
        <w:t>, the slippage will be required for embedding the system in the new financial year.</w:t>
      </w:r>
      <w:r w:rsidR="00493E11">
        <w:rPr>
          <w:bCs/>
        </w:rPr>
        <w:t xml:space="preserve"> This slippage will</w:t>
      </w:r>
      <w:r w:rsidR="00245948">
        <w:rPr>
          <w:bCs/>
        </w:rPr>
        <w:t xml:space="preserve"> result in a one-off sa</w:t>
      </w:r>
      <w:r w:rsidR="00493E11">
        <w:rPr>
          <w:bCs/>
        </w:rPr>
        <w:t>vings</w:t>
      </w:r>
      <w:r w:rsidR="00245948">
        <w:rPr>
          <w:bCs/>
        </w:rPr>
        <w:t xml:space="preserve"> on the budgeted revenue cost for this project in 2017/16</w:t>
      </w:r>
    </w:p>
    <w:p w14:paraId="7B3FCAAD" w14:textId="203BFFA4" w:rsidR="0029474D" w:rsidRDefault="00C45CF6" w:rsidP="00720057">
      <w:pPr>
        <w:pStyle w:val="ListParagraph"/>
        <w:numPr>
          <w:ilvl w:val="1"/>
          <w:numId w:val="9"/>
        </w:numPr>
        <w:autoSpaceDE w:val="0"/>
        <w:autoSpaceDN w:val="0"/>
        <w:adjustRightInd w:val="0"/>
        <w:spacing w:after="120"/>
        <w:ind w:left="709" w:hanging="709"/>
        <w:jc w:val="both"/>
        <w:rPr>
          <w:bCs/>
        </w:rPr>
      </w:pPr>
      <w:r w:rsidRPr="0029474D">
        <w:rPr>
          <w:bCs/>
        </w:rPr>
        <w:t>Project Infinity - £1.250m will</w:t>
      </w:r>
      <w:r w:rsidR="0029474D" w:rsidRPr="0029474D">
        <w:rPr>
          <w:bCs/>
        </w:rPr>
        <w:t xml:space="preserve"> be slipped into 2017/18.</w:t>
      </w:r>
      <w:r w:rsidR="00BC1681">
        <w:rPr>
          <w:bCs/>
        </w:rPr>
        <w:t xml:space="preserve"> The revenue savings for this savings has been re-profiled in the budget draf</w:t>
      </w:r>
      <w:r w:rsidR="00245948">
        <w:rPr>
          <w:bCs/>
        </w:rPr>
        <w:t>t report, therefore</w:t>
      </w:r>
      <w:r w:rsidR="00442041">
        <w:rPr>
          <w:bCs/>
        </w:rPr>
        <w:t xml:space="preserve"> there is</w:t>
      </w:r>
      <w:r w:rsidR="00245948">
        <w:rPr>
          <w:bCs/>
        </w:rPr>
        <w:t xml:space="preserve"> no impact.</w:t>
      </w:r>
    </w:p>
    <w:p w14:paraId="56526F75" w14:textId="77777777" w:rsidR="00BA52A2" w:rsidRDefault="0029474D" w:rsidP="00720057">
      <w:pPr>
        <w:pStyle w:val="ListParagraph"/>
        <w:numPr>
          <w:ilvl w:val="1"/>
          <w:numId w:val="9"/>
        </w:numPr>
        <w:autoSpaceDE w:val="0"/>
        <w:autoSpaceDN w:val="0"/>
        <w:adjustRightInd w:val="0"/>
        <w:spacing w:after="120"/>
        <w:ind w:left="709" w:hanging="709"/>
        <w:jc w:val="both"/>
        <w:rPr>
          <w:bCs/>
        </w:rPr>
      </w:pPr>
      <w:r w:rsidRPr="006B1A1C">
        <w:rPr>
          <w:bCs/>
        </w:rPr>
        <w:t>Maintenance of Adult Properties</w:t>
      </w:r>
      <w:r w:rsidR="006B1A1C" w:rsidRPr="006B1A1C">
        <w:rPr>
          <w:bCs/>
        </w:rPr>
        <w:t xml:space="preserve"> and other projects within Adult Service of £0</w:t>
      </w:r>
      <w:r w:rsidR="006B1A1C">
        <w:rPr>
          <w:bCs/>
        </w:rPr>
        <w:t>.075m</w:t>
      </w:r>
      <w:r w:rsidRPr="006B1A1C">
        <w:rPr>
          <w:bCs/>
        </w:rPr>
        <w:t xml:space="preserve"> </w:t>
      </w:r>
      <w:r w:rsidR="006B1A1C">
        <w:rPr>
          <w:bCs/>
        </w:rPr>
        <w:t xml:space="preserve"> will also be slipped into </w:t>
      </w:r>
      <w:r w:rsidR="00BA52A2">
        <w:rPr>
          <w:bCs/>
        </w:rPr>
        <w:t>the next financial year.</w:t>
      </w:r>
    </w:p>
    <w:p w14:paraId="048F9BDE" w14:textId="259C446A" w:rsidR="0029474D" w:rsidRPr="006B1A1C" w:rsidRDefault="00442041" w:rsidP="00720057">
      <w:pPr>
        <w:pStyle w:val="ListParagraph"/>
        <w:numPr>
          <w:ilvl w:val="1"/>
          <w:numId w:val="9"/>
        </w:numPr>
        <w:autoSpaceDE w:val="0"/>
        <w:autoSpaceDN w:val="0"/>
        <w:adjustRightInd w:val="0"/>
        <w:spacing w:after="120"/>
        <w:ind w:left="709" w:hanging="709"/>
        <w:jc w:val="both"/>
        <w:rPr>
          <w:bCs/>
        </w:rPr>
      </w:pPr>
      <w:r>
        <w:rPr>
          <w:bCs/>
        </w:rPr>
        <w:t>The above slippages are required for</w:t>
      </w:r>
      <w:r w:rsidR="0029474D" w:rsidRPr="006B1A1C">
        <w:rPr>
          <w:bCs/>
        </w:rPr>
        <w:t>- Programme of building works to modernise catering facilities of residential homes, some of this work will be slipped into the next financial year.</w:t>
      </w:r>
    </w:p>
    <w:p w14:paraId="5B857E4E" w14:textId="77777777" w:rsidR="006379E1" w:rsidRDefault="006379E1" w:rsidP="0029474D">
      <w:pPr>
        <w:autoSpaceDE w:val="0"/>
        <w:autoSpaceDN w:val="0"/>
        <w:adjustRightInd w:val="0"/>
        <w:spacing w:after="120"/>
        <w:ind w:firstLine="709"/>
        <w:jc w:val="both"/>
        <w:rPr>
          <w:bCs/>
          <w:u w:val="single"/>
        </w:rPr>
      </w:pPr>
    </w:p>
    <w:p w14:paraId="2DE93B21" w14:textId="77777777" w:rsidR="008210B6" w:rsidRDefault="008210B6">
      <w:pPr>
        <w:rPr>
          <w:bCs/>
          <w:u w:val="single"/>
        </w:rPr>
      </w:pPr>
      <w:r>
        <w:rPr>
          <w:bCs/>
          <w:u w:val="single"/>
        </w:rPr>
        <w:br w:type="page"/>
      </w:r>
    </w:p>
    <w:p w14:paraId="7ABC7245" w14:textId="41A339B2" w:rsidR="002A6274" w:rsidRPr="003E6EAA" w:rsidRDefault="002A6274" w:rsidP="0029474D">
      <w:pPr>
        <w:autoSpaceDE w:val="0"/>
        <w:autoSpaceDN w:val="0"/>
        <w:adjustRightInd w:val="0"/>
        <w:spacing w:after="120"/>
        <w:ind w:firstLine="709"/>
        <w:jc w:val="both"/>
        <w:rPr>
          <w:bCs/>
          <w:u w:val="single"/>
        </w:rPr>
      </w:pPr>
      <w:r w:rsidRPr="003E6EAA">
        <w:rPr>
          <w:bCs/>
          <w:u w:val="single"/>
        </w:rPr>
        <w:lastRenderedPageBreak/>
        <w:t>Schools</w:t>
      </w:r>
    </w:p>
    <w:p w14:paraId="2A78C684" w14:textId="36FD7ECF" w:rsidR="000163EE" w:rsidRPr="003E6EAA" w:rsidRDefault="006379E1" w:rsidP="00720057">
      <w:pPr>
        <w:pStyle w:val="ListParagraph"/>
        <w:numPr>
          <w:ilvl w:val="1"/>
          <w:numId w:val="9"/>
        </w:numPr>
        <w:autoSpaceDE w:val="0"/>
        <w:autoSpaceDN w:val="0"/>
        <w:adjustRightInd w:val="0"/>
        <w:spacing w:after="120"/>
        <w:ind w:left="709" w:hanging="709"/>
        <w:jc w:val="both"/>
      </w:pPr>
      <w:r>
        <w:rPr>
          <w:bCs/>
        </w:rPr>
        <w:t>The budget for the schoo</w:t>
      </w:r>
      <w:r w:rsidR="003E6EAA" w:rsidRPr="003E6EAA">
        <w:rPr>
          <w:bCs/>
        </w:rPr>
        <w:t>l expa</w:t>
      </w:r>
      <w:r w:rsidR="00442041">
        <w:rPr>
          <w:bCs/>
        </w:rPr>
        <w:t>nsion programme through to 2019/</w:t>
      </w:r>
      <w:r w:rsidR="003E6EAA" w:rsidRPr="003E6EAA">
        <w:rPr>
          <w:bCs/>
        </w:rPr>
        <w:t>20 is £14.577m. T</w:t>
      </w:r>
      <w:r w:rsidR="002A6274" w:rsidRPr="003E6EAA">
        <w:rPr>
          <w:bCs/>
        </w:rPr>
        <w:t>he forec</w:t>
      </w:r>
      <w:r w:rsidR="00822C7C" w:rsidRPr="003E6EAA">
        <w:rPr>
          <w:bCs/>
        </w:rPr>
        <w:t>ast spend i</w:t>
      </w:r>
      <w:r w:rsidR="00442041">
        <w:rPr>
          <w:bCs/>
        </w:rPr>
        <w:t>n 2016/</w:t>
      </w:r>
      <w:r w:rsidR="003E6EAA" w:rsidRPr="003E6EAA">
        <w:rPr>
          <w:bCs/>
        </w:rPr>
        <w:t xml:space="preserve">17 is </w:t>
      </w:r>
      <w:r w:rsidR="00822C7C" w:rsidRPr="003E6EAA">
        <w:rPr>
          <w:bCs/>
        </w:rPr>
        <w:t>£19.392m 54</w:t>
      </w:r>
      <w:r w:rsidR="002A6274" w:rsidRPr="003E6EAA">
        <w:rPr>
          <w:bCs/>
        </w:rPr>
        <w:t>%</w:t>
      </w:r>
      <w:r w:rsidR="003E6EAA" w:rsidRPr="003E6EAA">
        <w:rPr>
          <w:bCs/>
        </w:rPr>
        <w:t xml:space="preserve"> of the total budget.</w:t>
      </w:r>
    </w:p>
    <w:p w14:paraId="1DB31E26" w14:textId="6EE051FA" w:rsidR="00822C7C" w:rsidRPr="003E6EAA" w:rsidRDefault="00822C7C" w:rsidP="00720057">
      <w:pPr>
        <w:pStyle w:val="ListParagraph"/>
        <w:numPr>
          <w:ilvl w:val="1"/>
          <w:numId w:val="9"/>
        </w:numPr>
        <w:autoSpaceDE w:val="0"/>
        <w:autoSpaceDN w:val="0"/>
        <w:adjustRightInd w:val="0"/>
        <w:spacing w:after="240"/>
        <w:ind w:left="709" w:hanging="709"/>
        <w:jc w:val="both"/>
      </w:pPr>
      <w:r w:rsidRPr="003E6EAA">
        <w:rPr>
          <w:bCs/>
        </w:rPr>
        <w:t xml:space="preserve">This is an improvement on the Q2 position as the funding to the Education Funding Agency (EFA) for Weald Rise School has been paid earlier than </w:t>
      </w:r>
      <w:r w:rsidR="003E6EAA" w:rsidRPr="003E6EAA">
        <w:rPr>
          <w:bCs/>
        </w:rPr>
        <w:t>anticipated.</w:t>
      </w:r>
    </w:p>
    <w:p w14:paraId="08131145" w14:textId="34DA062E" w:rsidR="0062479E" w:rsidRPr="003E6EAA" w:rsidRDefault="0062479E" w:rsidP="00FD7191">
      <w:pPr>
        <w:pStyle w:val="Default"/>
        <w:spacing w:after="120"/>
        <w:ind w:firstLine="709"/>
        <w:jc w:val="both"/>
      </w:pPr>
      <w:r w:rsidRPr="003E6EAA">
        <w:t>SEP1 and SEP2</w:t>
      </w:r>
    </w:p>
    <w:p w14:paraId="2E7C8B25" w14:textId="77777777" w:rsidR="003E6EAA" w:rsidRPr="003E6EAA" w:rsidRDefault="003E6EAA" w:rsidP="00720057">
      <w:pPr>
        <w:pStyle w:val="ListParagraph"/>
        <w:numPr>
          <w:ilvl w:val="1"/>
          <w:numId w:val="9"/>
        </w:numPr>
        <w:autoSpaceDE w:val="0"/>
        <w:autoSpaceDN w:val="0"/>
        <w:adjustRightInd w:val="0"/>
        <w:spacing w:after="120"/>
        <w:ind w:left="709" w:hanging="709"/>
        <w:jc w:val="both"/>
      </w:pPr>
      <w:r w:rsidRPr="003E6EAA">
        <w:rPr>
          <w:bCs/>
        </w:rPr>
        <w:t>The Council employs cost consultants to provide valuations of the works carried out by the contractors.  Cabinet in June 2016 approved merger of the uncommitted SEP4 programme budgets, anticipated to be delivered by the Free School Programme, and the SEP2 programme budgets and, based on the current work being undertaken to close the final accounts, there will be sufficient funding to meeting this pressure.  However, the account valuations provided by the contractor vary significantly to those provided by the council’s cost consultants and this could be a further pressure, and may require council borrowing to fund.</w:t>
      </w:r>
    </w:p>
    <w:p w14:paraId="5E31AE2B" w14:textId="77777777" w:rsidR="003E6EAA" w:rsidRPr="003E6EAA" w:rsidRDefault="003E6EAA" w:rsidP="00720057">
      <w:pPr>
        <w:pStyle w:val="ListParagraph"/>
        <w:numPr>
          <w:ilvl w:val="1"/>
          <w:numId w:val="9"/>
        </w:numPr>
        <w:autoSpaceDE w:val="0"/>
        <w:autoSpaceDN w:val="0"/>
        <w:adjustRightInd w:val="0"/>
        <w:spacing w:after="120"/>
        <w:ind w:left="709" w:hanging="709"/>
        <w:jc w:val="both"/>
      </w:pPr>
      <w:r w:rsidRPr="003E6EAA">
        <w:rPr>
          <w:bCs/>
        </w:rPr>
        <w:t>The forecasts continue to be monitored and updated as projects are completed and the accounts clarified and agreed with the contractors.  Work is being undertaken with Legal Services to support the process of closing the programme with Keepmoat. For the purposes of the Q3 budget monitoring report, these are forecast to spend to budget.</w:t>
      </w:r>
    </w:p>
    <w:p w14:paraId="3B422C1B" w14:textId="77777777" w:rsidR="006379E1" w:rsidRDefault="006379E1" w:rsidP="00FD7191">
      <w:pPr>
        <w:pStyle w:val="Default"/>
        <w:spacing w:after="120"/>
        <w:ind w:firstLine="709"/>
        <w:jc w:val="both"/>
      </w:pPr>
    </w:p>
    <w:p w14:paraId="4A5D3BB5" w14:textId="463DD23B" w:rsidR="00A52D69" w:rsidRPr="00DD4356" w:rsidRDefault="0062479E" w:rsidP="00FD7191">
      <w:pPr>
        <w:pStyle w:val="Default"/>
        <w:spacing w:after="120"/>
        <w:ind w:firstLine="709"/>
        <w:jc w:val="both"/>
      </w:pPr>
      <w:r w:rsidRPr="00DD4356">
        <w:t xml:space="preserve">SEP3 </w:t>
      </w:r>
    </w:p>
    <w:p w14:paraId="50F7912A" w14:textId="41DE090C" w:rsidR="003E6EAA" w:rsidRPr="00DD4356" w:rsidRDefault="003E6EAA" w:rsidP="00720057">
      <w:pPr>
        <w:pStyle w:val="ListParagraph"/>
        <w:numPr>
          <w:ilvl w:val="1"/>
          <w:numId w:val="9"/>
        </w:numPr>
        <w:autoSpaceDE w:val="0"/>
        <w:autoSpaceDN w:val="0"/>
        <w:adjustRightInd w:val="0"/>
        <w:spacing w:after="120"/>
        <w:ind w:left="709" w:hanging="709"/>
        <w:jc w:val="both"/>
      </w:pPr>
      <w:r w:rsidRPr="00DD4356">
        <w:t xml:space="preserve">The forecasts provided by the council’s cost consultants include four schemes which have been approved by planning, as well as </w:t>
      </w:r>
      <w:proofErr w:type="spellStart"/>
      <w:r w:rsidRPr="00DD4356">
        <w:t>Welldon</w:t>
      </w:r>
      <w:proofErr w:type="spellEnd"/>
      <w:r w:rsidRPr="00DD4356">
        <w:t xml:space="preserve"> Park Junior School which is sti</w:t>
      </w:r>
      <w:r w:rsidR="00961707">
        <w:t>ll subject to planning approval</w:t>
      </w:r>
      <w:r w:rsidRPr="00DD4356">
        <w:t>.</w:t>
      </w:r>
    </w:p>
    <w:p w14:paraId="7E1DF9B9" w14:textId="0D9E2353" w:rsidR="003E6EAA" w:rsidRPr="00DD4356" w:rsidRDefault="003E6EAA" w:rsidP="00321F56">
      <w:pPr>
        <w:pStyle w:val="ListParagraph"/>
        <w:numPr>
          <w:ilvl w:val="1"/>
          <w:numId w:val="9"/>
        </w:numPr>
        <w:autoSpaceDE w:val="0"/>
        <w:autoSpaceDN w:val="0"/>
        <w:adjustRightInd w:val="0"/>
        <w:spacing w:after="120"/>
        <w:ind w:left="709" w:hanging="709"/>
        <w:jc w:val="both"/>
      </w:pPr>
      <w:proofErr w:type="spellStart"/>
      <w:r w:rsidRPr="00DD4356">
        <w:t>Welldon</w:t>
      </w:r>
      <w:proofErr w:type="spellEnd"/>
      <w:r w:rsidRPr="00DD4356">
        <w:t xml:space="preserve"> Park Junior School is still going through the value engineering process and where possible costs will be driven down.  However, as this scheme is still subject to planning approval there could be further works or redesigns required to meet any additional planning conditions which could put further financial pressure on this programme.  Any pressure on this programme will result in an over</w:t>
      </w:r>
      <w:r w:rsidR="00633E7A">
        <w:t xml:space="preserve"> </w:t>
      </w:r>
      <w:r w:rsidRPr="00DD4356">
        <w:t>spend which would have to be funded from Council borrowing.</w:t>
      </w:r>
    </w:p>
    <w:p w14:paraId="368B7EAD" w14:textId="77777777" w:rsidR="003E6EAA" w:rsidRPr="00DD4356" w:rsidRDefault="003E6EAA" w:rsidP="00720057">
      <w:pPr>
        <w:pStyle w:val="ListParagraph"/>
        <w:numPr>
          <w:ilvl w:val="1"/>
          <w:numId w:val="9"/>
        </w:numPr>
        <w:autoSpaceDE w:val="0"/>
        <w:autoSpaceDN w:val="0"/>
        <w:adjustRightInd w:val="0"/>
        <w:spacing w:after="120"/>
        <w:ind w:left="709" w:hanging="709"/>
        <w:jc w:val="both"/>
      </w:pPr>
      <w:r w:rsidRPr="00DD4356">
        <w:t>Weald Rise Primary School, also part of SEP3, is being rebuilt as part of the Priority School Building Programme.  However the expansion of the school is in addition to the works being provided by the EFA.  Therefore the council has committed to a top up fee in order to deliver the expansion element of this programme, totalling £2.28m.  This is included in the overall budget for the programme.</w:t>
      </w:r>
    </w:p>
    <w:p w14:paraId="60C65292" w14:textId="77777777" w:rsidR="00E867BC" w:rsidRDefault="00E867BC" w:rsidP="008210B6">
      <w:pPr>
        <w:autoSpaceDE w:val="0"/>
        <w:autoSpaceDN w:val="0"/>
        <w:adjustRightInd w:val="0"/>
        <w:ind w:left="360" w:firstLine="346"/>
        <w:jc w:val="both"/>
        <w:rPr>
          <w:i/>
          <w:u w:val="single"/>
        </w:rPr>
      </w:pPr>
    </w:p>
    <w:p w14:paraId="415BE972" w14:textId="68B8493A" w:rsidR="0062479E" w:rsidRPr="00DD4356" w:rsidRDefault="0062479E" w:rsidP="00487842">
      <w:pPr>
        <w:autoSpaceDE w:val="0"/>
        <w:autoSpaceDN w:val="0"/>
        <w:adjustRightInd w:val="0"/>
        <w:spacing w:after="240"/>
        <w:ind w:left="360" w:firstLine="349"/>
        <w:jc w:val="both"/>
        <w:rPr>
          <w:i/>
          <w:u w:val="single"/>
        </w:rPr>
      </w:pPr>
      <w:r w:rsidRPr="00DD4356">
        <w:rPr>
          <w:i/>
          <w:u w:val="single"/>
        </w:rPr>
        <w:t>S</w:t>
      </w:r>
      <w:r w:rsidR="006D2493" w:rsidRPr="00DD4356">
        <w:rPr>
          <w:i/>
          <w:u w:val="single"/>
        </w:rPr>
        <w:t>lippages</w:t>
      </w:r>
      <w:r w:rsidR="00422246" w:rsidRPr="00DD4356">
        <w:rPr>
          <w:i/>
          <w:u w:val="single"/>
        </w:rPr>
        <w:t xml:space="preserve"> and Implication</w:t>
      </w:r>
    </w:p>
    <w:p w14:paraId="39B71007" w14:textId="2D369EFA" w:rsidR="00DD4356" w:rsidRPr="00DD4356" w:rsidRDefault="00DD4356" w:rsidP="00720057">
      <w:pPr>
        <w:pStyle w:val="ListParagraph"/>
        <w:numPr>
          <w:ilvl w:val="1"/>
          <w:numId w:val="9"/>
        </w:numPr>
        <w:autoSpaceDE w:val="0"/>
        <w:autoSpaceDN w:val="0"/>
        <w:adjustRightInd w:val="0"/>
        <w:spacing w:after="120"/>
        <w:ind w:left="709" w:hanging="709"/>
        <w:jc w:val="both"/>
      </w:pPr>
      <w:r w:rsidRPr="00DD4356">
        <w:t xml:space="preserve">The reported slippage as at Q3 is £16.654m. The majority of slippage of £6.924m relates to Stag Lane and </w:t>
      </w:r>
      <w:proofErr w:type="spellStart"/>
      <w:r w:rsidRPr="00DD4356">
        <w:t>Welldon</w:t>
      </w:r>
      <w:proofErr w:type="spellEnd"/>
      <w:r w:rsidRPr="00DD4356">
        <w:t xml:space="preserve"> Park Junior Schools which </w:t>
      </w:r>
      <w:r w:rsidR="008A1CA5" w:rsidRPr="00DD4356">
        <w:t>are parts</w:t>
      </w:r>
      <w:r w:rsidRPr="00DD4356">
        <w:t xml:space="preserve"> of phase 3 of the expansion programme for which the majority of the </w:t>
      </w:r>
      <w:r w:rsidR="00F023E2">
        <w:t>work will be undertaken in 2017/</w:t>
      </w:r>
      <w:r w:rsidRPr="00DD4356">
        <w:t xml:space="preserve">18. There is minimal impact to the schools as a result of these delays since the expanded </w:t>
      </w:r>
      <w:r w:rsidRPr="00DD4356">
        <w:lastRenderedPageBreak/>
        <w:t xml:space="preserve">year group at </w:t>
      </w:r>
      <w:proofErr w:type="spellStart"/>
      <w:r w:rsidRPr="00DD4356">
        <w:t>Welldon</w:t>
      </w:r>
      <w:proofErr w:type="spellEnd"/>
      <w:r w:rsidRPr="00DD4356">
        <w:t xml:space="preserve"> Park is still working its way through the infants (which is on a separate site and whose building works were completed for September 2016). There will be sufficient capacity in the junior school until building works are completed for September 2017. In relation to Stag Lane the school expanded its pupil numbers from September 2016 and there will also be sufficient capacity within the school to accommodate the increased numbers until the building works are completed for September 2017.</w:t>
      </w:r>
    </w:p>
    <w:p w14:paraId="763D60F4" w14:textId="78DF5D82" w:rsidR="00DD4356" w:rsidRDefault="00DD4356" w:rsidP="00720057">
      <w:pPr>
        <w:pStyle w:val="ListParagraph"/>
        <w:numPr>
          <w:ilvl w:val="1"/>
          <w:numId w:val="9"/>
        </w:numPr>
        <w:autoSpaceDE w:val="0"/>
        <w:autoSpaceDN w:val="0"/>
        <w:adjustRightInd w:val="0"/>
        <w:spacing w:after="120"/>
        <w:ind w:left="709" w:hanging="709"/>
        <w:jc w:val="both"/>
      </w:pPr>
      <w:r w:rsidRPr="00DD4356">
        <w:t>The position with the school projections reported to Cabinet in July 2016, indicate that the demand for secondary school places is lower than previously expected and there will be a shortfall at a later stage than anticipated, from 2022. It is therefore proposed to slip £945k of Second</w:t>
      </w:r>
      <w:r w:rsidR="00F023E2">
        <w:t>ary provision funding into 2017/</w:t>
      </w:r>
      <w:r w:rsidRPr="00DD4356">
        <w:t>18. In addition £5.090m of SEN funding</w:t>
      </w:r>
      <w:r w:rsidR="00F023E2">
        <w:t xml:space="preserve"> will also be slipped into 2017/</w:t>
      </w:r>
      <w:r w:rsidRPr="00DD4356">
        <w:t>18. The Council has submitted an Expression of Interest to the EFA for a special free school in Harrow. The outcome of this decision will inform the capital requirements for special school provision in the future. The majority of the remainder of the slippage relates to rolling programmes for amalgamations, bulge classes and capital maintenance.</w:t>
      </w:r>
    </w:p>
    <w:p w14:paraId="2A11AA63" w14:textId="77777777" w:rsidR="00E04578" w:rsidRDefault="00E04578" w:rsidP="00BA52A2">
      <w:pPr>
        <w:pStyle w:val="ListParagraph"/>
        <w:autoSpaceDE w:val="0"/>
        <w:autoSpaceDN w:val="0"/>
        <w:adjustRightInd w:val="0"/>
        <w:spacing w:after="120"/>
        <w:ind w:left="709"/>
        <w:jc w:val="both"/>
        <w:rPr>
          <w:i/>
          <w:highlight w:val="yellow"/>
          <w:u w:val="single"/>
        </w:rPr>
      </w:pPr>
    </w:p>
    <w:p w14:paraId="39E9A63F" w14:textId="13810645" w:rsidR="00BA52A2" w:rsidRPr="00BA52A2" w:rsidRDefault="00BA52A2" w:rsidP="00BA52A2">
      <w:pPr>
        <w:pStyle w:val="ListParagraph"/>
        <w:autoSpaceDE w:val="0"/>
        <w:autoSpaceDN w:val="0"/>
        <w:adjustRightInd w:val="0"/>
        <w:spacing w:after="120"/>
        <w:ind w:left="709"/>
        <w:jc w:val="both"/>
        <w:rPr>
          <w:i/>
          <w:u w:val="single"/>
        </w:rPr>
      </w:pPr>
      <w:r w:rsidRPr="00E04578">
        <w:rPr>
          <w:i/>
          <w:u w:val="single"/>
        </w:rPr>
        <w:t>Addition</w:t>
      </w:r>
    </w:p>
    <w:p w14:paraId="385202DF" w14:textId="77777777" w:rsidR="008210B6" w:rsidRPr="00E04578" w:rsidRDefault="008210B6" w:rsidP="008210B6">
      <w:pPr>
        <w:pStyle w:val="ListParagraph"/>
        <w:numPr>
          <w:ilvl w:val="1"/>
          <w:numId w:val="9"/>
        </w:numPr>
        <w:autoSpaceDE w:val="0"/>
        <w:autoSpaceDN w:val="0"/>
        <w:adjustRightInd w:val="0"/>
        <w:spacing w:after="120"/>
        <w:ind w:left="709" w:hanging="709"/>
        <w:jc w:val="both"/>
      </w:pPr>
      <w:r>
        <w:t>A</w:t>
      </w:r>
      <w:r w:rsidRPr="00E04578">
        <w:t>n additional sum of £1.864m of external funding in relation to school conditions was rec</w:t>
      </w:r>
      <w:r>
        <w:t>eived in 2016/</w:t>
      </w:r>
      <w:r w:rsidRPr="00E04578">
        <w:t xml:space="preserve">17 that had not been previously anticipated and therefore it is proposed that this funding is used to offset council borrowing by £1.864m. </w:t>
      </w:r>
    </w:p>
    <w:p w14:paraId="3888F447" w14:textId="2D1AEF0F" w:rsidR="0002252A" w:rsidRPr="0002252A" w:rsidRDefault="0002252A" w:rsidP="0002252A">
      <w:pPr>
        <w:autoSpaceDE w:val="0"/>
        <w:autoSpaceDN w:val="0"/>
        <w:adjustRightInd w:val="0"/>
        <w:spacing w:after="120"/>
        <w:jc w:val="both"/>
        <w:rPr>
          <w:i/>
          <w:u w:val="single"/>
        </w:rPr>
      </w:pPr>
    </w:p>
    <w:p w14:paraId="6FD359C1" w14:textId="77777777" w:rsidR="002A6274" w:rsidRPr="00A870EE" w:rsidRDefault="002A6274" w:rsidP="00487842">
      <w:pPr>
        <w:autoSpaceDE w:val="0"/>
        <w:autoSpaceDN w:val="0"/>
        <w:adjustRightInd w:val="0"/>
        <w:spacing w:after="240"/>
        <w:jc w:val="both"/>
        <w:rPr>
          <w:b/>
          <w:u w:val="single"/>
        </w:rPr>
      </w:pPr>
      <w:r w:rsidRPr="00A870EE">
        <w:rPr>
          <w:b/>
          <w:u w:val="single"/>
        </w:rPr>
        <w:t>REGENERATION</w:t>
      </w:r>
    </w:p>
    <w:p w14:paraId="0B4C1729" w14:textId="528F7C64" w:rsidR="00442041" w:rsidRPr="00442041" w:rsidRDefault="002A6274" w:rsidP="00487842">
      <w:pPr>
        <w:pStyle w:val="ListParagraph"/>
        <w:numPr>
          <w:ilvl w:val="1"/>
          <w:numId w:val="9"/>
        </w:numPr>
        <w:autoSpaceDE w:val="0"/>
        <w:autoSpaceDN w:val="0"/>
        <w:adjustRightInd w:val="0"/>
        <w:spacing w:after="240"/>
        <w:ind w:left="709" w:hanging="709"/>
        <w:jc w:val="both"/>
        <w:rPr>
          <w:b/>
          <w:u w:val="single"/>
        </w:rPr>
      </w:pPr>
      <w:r w:rsidRPr="005E76F9">
        <w:t>T</w:t>
      </w:r>
      <w:r w:rsidR="005E44E4" w:rsidRPr="005E76F9">
        <w:t>he Di</w:t>
      </w:r>
      <w:r w:rsidR="00422246" w:rsidRPr="005E76F9">
        <w:t>vision forecast to spend £1</w:t>
      </w:r>
      <w:r w:rsidR="007F454B" w:rsidRPr="005E76F9">
        <w:t>1</w:t>
      </w:r>
      <w:r w:rsidR="00422246" w:rsidRPr="005E76F9">
        <w:t>.</w:t>
      </w:r>
      <w:r w:rsidR="00442041">
        <w:t>899</w:t>
      </w:r>
      <w:r w:rsidR="005E44E4" w:rsidRPr="005E76F9">
        <w:t xml:space="preserve">m </w:t>
      </w:r>
      <w:r w:rsidR="00193934" w:rsidRPr="005E76F9">
        <w:t>against budget of £2</w:t>
      </w:r>
      <w:r w:rsidR="00442041">
        <w:t>1.426</w:t>
      </w:r>
      <w:r w:rsidR="00193934" w:rsidRPr="005E76F9">
        <w:t xml:space="preserve">m </w:t>
      </w:r>
      <w:r w:rsidRPr="005E76F9">
        <w:t xml:space="preserve">on this year’s </w:t>
      </w:r>
      <w:r w:rsidR="00422246" w:rsidRPr="005E76F9">
        <w:t>b</w:t>
      </w:r>
      <w:r w:rsidRPr="005E76F9">
        <w:t>udget allocation.</w:t>
      </w:r>
      <w:r w:rsidR="00442041">
        <w:t xml:space="preserve"> The following budget will be slipped into 2017/1</w:t>
      </w:r>
      <w:r w:rsidR="00531BC8">
        <w:t>8</w:t>
      </w:r>
      <w:r w:rsidR="00442041">
        <w:t>:</w:t>
      </w:r>
    </w:p>
    <w:p w14:paraId="422530AE" w14:textId="00BB62E3" w:rsidR="007F454B" w:rsidRPr="005E76F9" w:rsidRDefault="00BC1681" w:rsidP="00487842">
      <w:pPr>
        <w:pStyle w:val="ListParagraph"/>
        <w:numPr>
          <w:ilvl w:val="1"/>
          <w:numId w:val="9"/>
        </w:numPr>
        <w:autoSpaceDE w:val="0"/>
        <w:autoSpaceDN w:val="0"/>
        <w:adjustRightInd w:val="0"/>
        <w:spacing w:after="240"/>
        <w:ind w:left="709" w:hanging="709"/>
        <w:jc w:val="both"/>
        <w:rPr>
          <w:b/>
          <w:u w:val="single"/>
        </w:rPr>
      </w:pPr>
      <w:r w:rsidRPr="005E76F9">
        <w:t>£</w:t>
      </w:r>
      <w:r w:rsidR="00292687">
        <w:t>8.746</w:t>
      </w:r>
      <w:r w:rsidR="002807EE" w:rsidRPr="005E76F9">
        <w:t>m</w:t>
      </w:r>
      <w:r w:rsidR="00746475" w:rsidRPr="005E76F9">
        <w:t xml:space="preserve"> </w:t>
      </w:r>
      <w:r w:rsidR="00961707">
        <w:t>variance</w:t>
      </w:r>
      <w:r w:rsidR="00442041">
        <w:t xml:space="preserve"> which is</w:t>
      </w:r>
      <w:r w:rsidR="00746475" w:rsidRPr="005E76F9">
        <w:t xml:space="preserve"> due </w:t>
      </w:r>
      <w:r w:rsidR="002807EE" w:rsidRPr="005E76F9">
        <w:t xml:space="preserve">to unavoidable delays, relating to land assembly, planning outcomes and unpredictable approval </w:t>
      </w:r>
      <w:r w:rsidR="007F454B" w:rsidRPr="005E76F9">
        <w:t>delays to procurement processes</w:t>
      </w:r>
      <w:r w:rsidR="005E76F9">
        <w:t xml:space="preserve"> </w:t>
      </w:r>
      <w:r w:rsidR="00961707">
        <w:t xml:space="preserve">which </w:t>
      </w:r>
      <w:r w:rsidR="00746475" w:rsidRPr="005E76F9">
        <w:t>will all be slipped into 2017/18</w:t>
      </w:r>
      <w:r w:rsidR="005E76F9" w:rsidRPr="005E76F9">
        <w:t>.</w:t>
      </w:r>
      <w:r w:rsidR="00292687" w:rsidRPr="00292687">
        <w:t xml:space="preserve"> </w:t>
      </w:r>
      <w:r w:rsidR="008A1CA5">
        <w:t>This</w:t>
      </w:r>
      <w:r w:rsidR="00292687" w:rsidRPr="00292687">
        <w:t xml:space="preserve"> slippage</w:t>
      </w:r>
      <w:r w:rsidR="00292687">
        <w:t xml:space="preserve"> on </w:t>
      </w:r>
      <w:r w:rsidR="00292687" w:rsidRPr="00292687">
        <w:t>Regeneration Programme is expected to result in the deferr</w:t>
      </w:r>
      <w:r w:rsidR="00442041">
        <w:t>al of financing costs from 2016/17 to 2017/</w:t>
      </w:r>
      <w:r w:rsidR="00292687" w:rsidRPr="00292687">
        <w:t>18</w:t>
      </w:r>
      <w:r w:rsidR="00292687">
        <w:t>.</w:t>
      </w:r>
    </w:p>
    <w:p w14:paraId="3B8F1D0E" w14:textId="0E8F8905" w:rsidR="005E76F9" w:rsidRPr="00191901" w:rsidRDefault="005E76F9" w:rsidP="005E76F9">
      <w:pPr>
        <w:pStyle w:val="ListParagraph"/>
        <w:numPr>
          <w:ilvl w:val="1"/>
          <w:numId w:val="9"/>
        </w:numPr>
        <w:autoSpaceDE w:val="0"/>
        <w:autoSpaceDN w:val="0"/>
        <w:adjustRightInd w:val="0"/>
        <w:spacing w:after="240"/>
        <w:ind w:left="709" w:hanging="709"/>
      </w:pPr>
      <w:r w:rsidRPr="00191901">
        <w:t>Trinity Square</w:t>
      </w:r>
      <w:r w:rsidR="00191901" w:rsidRPr="00191901">
        <w:t xml:space="preserve"> project is a </w:t>
      </w:r>
      <w:r w:rsidRPr="00191901">
        <w:t>2 year</w:t>
      </w:r>
      <w:r w:rsidR="00191901" w:rsidRPr="00191901">
        <w:t xml:space="preserve"> </w:t>
      </w:r>
      <w:r w:rsidR="00DD4356" w:rsidRPr="00191901">
        <w:t>project;</w:t>
      </w:r>
      <w:r w:rsidR="00191901" w:rsidRPr="00191901">
        <w:t xml:space="preserve"> therefore</w:t>
      </w:r>
      <w:r w:rsidRPr="00191901">
        <w:t xml:space="preserve"> </w:t>
      </w:r>
      <w:r w:rsidR="00191901" w:rsidRPr="00191901">
        <w:t xml:space="preserve">of the GLA capital grant of </w:t>
      </w:r>
      <w:r w:rsidR="00DD4356">
        <w:t xml:space="preserve">£0.850m, </w:t>
      </w:r>
      <w:r w:rsidR="00191901" w:rsidRPr="00191901">
        <w:t>£0.782</w:t>
      </w:r>
      <w:r w:rsidRPr="00191901">
        <w:t xml:space="preserve">m </w:t>
      </w:r>
      <w:r w:rsidR="006A5A1F">
        <w:t xml:space="preserve">will be slipped into 2017/18, there is no financial or social implication to slipping </w:t>
      </w:r>
      <w:r w:rsidR="00442041">
        <w:t>these budget</w:t>
      </w:r>
      <w:r w:rsidR="006A5A1F">
        <w:t xml:space="preserve"> because the project is still within its projected time of completion.</w:t>
      </w:r>
    </w:p>
    <w:p w14:paraId="259FA44A" w14:textId="77777777" w:rsidR="008B678B" w:rsidRDefault="008B678B" w:rsidP="00487842">
      <w:pPr>
        <w:autoSpaceDE w:val="0"/>
        <w:autoSpaceDN w:val="0"/>
        <w:adjustRightInd w:val="0"/>
        <w:spacing w:after="240"/>
        <w:jc w:val="both"/>
        <w:rPr>
          <w:b/>
          <w:u w:val="single"/>
        </w:rPr>
      </w:pPr>
    </w:p>
    <w:p w14:paraId="2435FE82" w14:textId="2D29549C" w:rsidR="002A6274" w:rsidRPr="006379E1" w:rsidRDefault="008B678B" w:rsidP="00487842">
      <w:pPr>
        <w:autoSpaceDE w:val="0"/>
        <w:autoSpaceDN w:val="0"/>
        <w:adjustRightInd w:val="0"/>
        <w:spacing w:after="240"/>
        <w:jc w:val="both"/>
        <w:rPr>
          <w:b/>
          <w:u w:val="single"/>
        </w:rPr>
      </w:pPr>
      <w:r>
        <w:rPr>
          <w:b/>
          <w:u w:val="single"/>
        </w:rPr>
        <w:t>H</w:t>
      </w:r>
      <w:r w:rsidR="006A0E09" w:rsidRPr="006379E1">
        <w:rPr>
          <w:b/>
          <w:u w:val="single"/>
        </w:rPr>
        <w:t>OUSING REVENUE ACCOUNT</w:t>
      </w:r>
    </w:p>
    <w:p w14:paraId="46718350" w14:textId="5A7E3F61" w:rsidR="002A6274" w:rsidRPr="00920AC4" w:rsidRDefault="00746475" w:rsidP="00FD7191">
      <w:pPr>
        <w:pStyle w:val="ListParagraph"/>
        <w:numPr>
          <w:ilvl w:val="1"/>
          <w:numId w:val="9"/>
        </w:numPr>
        <w:autoSpaceDE w:val="0"/>
        <w:autoSpaceDN w:val="0"/>
        <w:adjustRightInd w:val="0"/>
        <w:spacing w:after="120"/>
        <w:ind w:left="709" w:hanging="709"/>
        <w:jc w:val="both"/>
      </w:pPr>
      <w:r>
        <w:t>As at Quarter 3</w:t>
      </w:r>
      <w:r w:rsidR="00F277FB">
        <w:t xml:space="preserve"> the</w:t>
      </w:r>
      <w:r w:rsidR="00422246" w:rsidRPr="00920AC4">
        <w:t xml:space="preserve"> forecast </w:t>
      </w:r>
      <w:r w:rsidR="00F277FB">
        <w:t xml:space="preserve">spend </w:t>
      </w:r>
      <w:r w:rsidR="00442041">
        <w:t>is £14.016</w:t>
      </w:r>
      <w:r w:rsidR="00A34F3C" w:rsidRPr="00920AC4">
        <w:t xml:space="preserve">m, </w:t>
      </w:r>
      <w:r>
        <w:t>47</w:t>
      </w:r>
      <w:r w:rsidR="00EB4D15" w:rsidRPr="00920AC4">
        <w:t>% of the 2016/17</w:t>
      </w:r>
      <w:r w:rsidR="002A6274" w:rsidRPr="00920AC4">
        <w:t xml:space="preserve"> </w:t>
      </w:r>
      <w:r w:rsidR="005155C8" w:rsidRPr="00920AC4">
        <w:tab/>
      </w:r>
      <w:r w:rsidR="002A6274" w:rsidRPr="00920AC4">
        <w:t>HRA’s latest capital Budget</w:t>
      </w:r>
    </w:p>
    <w:p w14:paraId="3844140F" w14:textId="6D116CA8" w:rsidR="00287B24" w:rsidRPr="00920AC4" w:rsidRDefault="00EB4D15" w:rsidP="00FD7191">
      <w:pPr>
        <w:pStyle w:val="ListParagraph"/>
        <w:numPr>
          <w:ilvl w:val="1"/>
          <w:numId w:val="9"/>
        </w:numPr>
        <w:autoSpaceDE w:val="0"/>
        <w:autoSpaceDN w:val="0"/>
        <w:adjustRightInd w:val="0"/>
        <w:spacing w:after="120"/>
        <w:ind w:left="709" w:hanging="709"/>
        <w:jc w:val="both"/>
      </w:pPr>
      <w:r w:rsidRPr="00920AC4">
        <w:t>The forecast</w:t>
      </w:r>
      <w:r w:rsidR="00961707">
        <w:t xml:space="preserve"> variance</w:t>
      </w:r>
      <w:r w:rsidR="00746475">
        <w:t xml:space="preserve"> is £15.807</w:t>
      </w:r>
      <w:r w:rsidR="002A6274" w:rsidRPr="00920AC4">
        <w:t>m</w:t>
      </w:r>
      <w:r w:rsidRPr="00920AC4">
        <w:t xml:space="preserve"> </w:t>
      </w:r>
      <w:r w:rsidR="0006687D">
        <w:t xml:space="preserve">most of </w:t>
      </w:r>
      <w:r w:rsidR="00A34F3C" w:rsidRPr="00920AC4">
        <w:t xml:space="preserve">which </w:t>
      </w:r>
      <w:r w:rsidR="002A6274" w:rsidRPr="00920AC4">
        <w:t xml:space="preserve">will </w:t>
      </w:r>
      <w:r w:rsidR="00A34F3C" w:rsidRPr="00920AC4">
        <w:t>all be slipped to 2017/18.</w:t>
      </w:r>
      <w:r w:rsidR="000743C7" w:rsidRPr="00920AC4">
        <w:t xml:space="preserve"> </w:t>
      </w:r>
      <w:r w:rsidR="00920AC4" w:rsidRPr="00920AC4">
        <w:t>The main HRA programme and Homes-4-</w:t>
      </w:r>
      <w:r w:rsidR="00442041">
        <w:t xml:space="preserve">Harrow are </w:t>
      </w:r>
      <w:r w:rsidR="00442041">
        <w:lastRenderedPageBreak/>
        <w:t>expected to be £2.674</w:t>
      </w:r>
      <w:r w:rsidR="0006687D">
        <w:t xml:space="preserve">m and £13.133m below budget respectively. </w:t>
      </w:r>
      <w:r w:rsidR="00961707">
        <w:t xml:space="preserve">The </w:t>
      </w:r>
      <w:r w:rsidR="0006687D">
        <w:t>HRA main programme is expected to carry forward £2.173m with the remaining £0.500m recognised as an under</w:t>
      </w:r>
      <w:r w:rsidR="006379E1">
        <w:t xml:space="preserve"> </w:t>
      </w:r>
      <w:r w:rsidR="0006687D">
        <w:t xml:space="preserve">spend. The whole of the £13.133m for Homes-4-Harrow will </w:t>
      </w:r>
      <w:r w:rsidR="008935E3">
        <w:t>all be carried forward into 2017/18.</w:t>
      </w:r>
    </w:p>
    <w:p w14:paraId="403AB2BB" w14:textId="6AD42B57" w:rsidR="00920AC4" w:rsidRDefault="00920AC4" w:rsidP="00487842">
      <w:pPr>
        <w:pStyle w:val="ListParagraph"/>
        <w:numPr>
          <w:ilvl w:val="1"/>
          <w:numId w:val="9"/>
        </w:numPr>
        <w:autoSpaceDE w:val="0"/>
        <w:autoSpaceDN w:val="0"/>
        <w:adjustRightInd w:val="0"/>
        <w:spacing w:after="240"/>
        <w:ind w:left="709" w:hanging="709"/>
        <w:jc w:val="both"/>
      </w:pPr>
      <w:r w:rsidRPr="00920AC4">
        <w:t>These adjustments to capital programme will not have any wider impact on delivery of the approved programme of works, which already has sufficient budget provision</w:t>
      </w:r>
      <w:r>
        <w:t>.</w:t>
      </w:r>
    </w:p>
    <w:p w14:paraId="7D0E3AA7" w14:textId="77777777" w:rsidR="00CF3C3D" w:rsidRDefault="00CF3C3D" w:rsidP="00487842">
      <w:pPr>
        <w:pStyle w:val="ListParagraph"/>
        <w:autoSpaceDE w:val="0"/>
        <w:autoSpaceDN w:val="0"/>
        <w:adjustRightInd w:val="0"/>
        <w:spacing w:after="240"/>
        <w:ind w:left="360"/>
        <w:jc w:val="both"/>
        <w:rPr>
          <w:szCs w:val="24"/>
        </w:rPr>
      </w:pPr>
    </w:p>
    <w:p w14:paraId="7C5555B3" w14:textId="2F844D02" w:rsidR="00741AEB" w:rsidRPr="009E22B0" w:rsidRDefault="0020754A" w:rsidP="00FC2412">
      <w:pPr>
        <w:autoSpaceDE w:val="0"/>
        <w:autoSpaceDN w:val="0"/>
        <w:adjustRightInd w:val="0"/>
        <w:spacing w:after="240"/>
        <w:jc w:val="both"/>
        <w:rPr>
          <w:b/>
          <w:sz w:val="28"/>
          <w:szCs w:val="28"/>
        </w:rPr>
      </w:pPr>
      <w:r w:rsidRPr="00835EA0">
        <w:rPr>
          <w:b/>
          <w:sz w:val="28"/>
          <w:szCs w:val="28"/>
        </w:rPr>
        <w:t>4</w:t>
      </w:r>
      <w:r w:rsidRPr="00835EA0">
        <w:rPr>
          <w:sz w:val="28"/>
          <w:szCs w:val="28"/>
        </w:rPr>
        <w:t>.</w:t>
      </w:r>
      <w:r w:rsidR="00C71B6A">
        <w:rPr>
          <w:szCs w:val="24"/>
        </w:rPr>
        <w:t xml:space="preserve">  </w:t>
      </w:r>
      <w:r w:rsidR="005E0EC3" w:rsidRPr="009E22B0">
        <w:rPr>
          <w:b/>
          <w:sz w:val="28"/>
          <w:szCs w:val="28"/>
        </w:rPr>
        <w:t>Legal Implication</w:t>
      </w:r>
      <w:r w:rsidR="00321F56">
        <w:rPr>
          <w:b/>
          <w:sz w:val="28"/>
          <w:szCs w:val="28"/>
        </w:rPr>
        <w:t>s</w:t>
      </w:r>
    </w:p>
    <w:p w14:paraId="70C5BE44" w14:textId="49952DCF" w:rsidR="005E0EC3" w:rsidRDefault="0020754A" w:rsidP="00720057">
      <w:pPr>
        <w:spacing w:after="120"/>
        <w:ind w:left="709" w:hanging="709"/>
        <w:jc w:val="both"/>
      </w:pPr>
      <w:r>
        <w:t>4.1</w:t>
      </w:r>
      <w:r>
        <w:tab/>
      </w:r>
      <w:r w:rsidR="005E0EC3" w:rsidRPr="005E0EC3">
        <w:t xml:space="preserve">Section 151 of the Local Government Act 1972 states that without </w:t>
      </w:r>
      <w:r>
        <w:tab/>
      </w:r>
      <w:r w:rsidR="005E0EC3" w:rsidRPr="005E0EC3">
        <w:t xml:space="preserve">prejudice to section 111, every local authority shall make arrangements </w:t>
      </w:r>
      <w:r w:rsidR="00720057">
        <w:t>f</w:t>
      </w:r>
      <w:r w:rsidR="005E0EC3" w:rsidRPr="005E0EC3">
        <w:t>or the proper administration of their financial affairs and shall secure that one of their officers has responsibility for the administration of those affairs”. Section 28 of the Local Government Act 2003 imposes a</w:t>
      </w:r>
      <w:r>
        <w:tab/>
      </w:r>
      <w:r w:rsidR="005E0EC3" w:rsidRPr="005E0EC3">
        <w:t xml:space="preserve">statutory duty on a billing or major </w:t>
      </w:r>
      <w:proofErr w:type="spellStart"/>
      <w:r w:rsidR="005E0EC3" w:rsidRPr="005E0EC3">
        <w:t>precepting</w:t>
      </w:r>
      <w:proofErr w:type="spellEnd"/>
      <w:r w:rsidR="005E0EC3" w:rsidRPr="005E0EC3">
        <w:t xml:space="preserve"> authority to monitor,</w:t>
      </w:r>
      <w:r>
        <w:tab/>
      </w:r>
      <w:r w:rsidR="005E0EC3" w:rsidRPr="005E0EC3">
        <w:t>during the financial year, its income and expenditure against budget</w:t>
      </w:r>
      <w:r w:rsidR="00720057">
        <w:t xml:space="preserve"> </w:t>
      </w:r>
      <w:r w:rsidR="005E0EC3" w:rsidRPr="005E0EC3">
        <w:t>calculations</w:t>
      </w:r>
      <w:r w:rsidR="005E0EC3">
        <w:t>.</w:t>
      </w:r>
    </w:p>
    <w:p w14:paraId="6D213BD9" w14:textId="22DCDD72" w:rsidR="005E0EC3" w:rsidRDefault="0020754A" w:rsidP="00720057">
      <w:pPr>
        <w:pStyle w:val="ListParagraph"/>
        <w:numPr>
          <w:ilvl w:val="1"/>
          <w:numId w:val="10"/>
        </w:numPr>
        <w:spacing w:after="120"/>
        <w:ind w:left="709" w:hanging="709"/>
        <w:jc w:val="both"/>
      </w:pPr>
      <w:r>
        <w:t xml:space="preserve"> </w:t>
      </w:r>
      <w:r w:rsidR="005E0EC3" w:rsidRPr="005E0EC3">
        <w:t xml:space="preserve">Under Allocation of Responsibilities in the Constitution, Council is </w:t>
      </w:r>
      <w:r>
        <w:tab/>
      </w:r>
      <w:r w:rsidR="005E0EC3" w:rsidRPr="005E0EC3">
        <w:t>responsible for all decisions, which are expected to result in variations</w:t>
      </w:r>
      <w:r w:rsidR="00720057">
        <w:t xml:space="preserve"> </w:t>
      </w:r>
      <w:r w:rsidR="005E0EC3" w:rsidRPr="005E0EC3">
        <w:t>to agreed revenue or capital budgets.  Cabinet must agree, or delegate</w:t>
      </w:r>
      <w:r w:rsidR="00720057">
        <w:t xml:space="preserve"> </w:t>
      </w:r>
      <w:r w:rsidR="005E0EC3" w:rsidRPr="005E0EC3">
        <w:t xml:space="preserve">agreement for all </w:t>
      </w:r>
      <w:proofErr w:type="spellStart"/>
      <w:r w:rsidR="005E0EC3" w:rsidRPr="005E0EC3">
        <w:t>virements</w:t>
      </w:r>
      <w:proofErr w:type="spellEnd"/>
      <w:r w:rsidR="005E0EC3" w:rsidRPr="005E0EC3">
        <w:t xml:space="preserve"> between budgets as set by the Financial </w:t>
      </w:r>
      <w:r>
        <w:tab/>
      </w:r>
      <w:r w:rsidR="005E0EC3" w:rsidRPr="005E0EC3">
        <w:t>Regulations</w:t>
      </w:r>
      <w:r w:rsidR="005E0EC3">
        <w:t>.</w:t>
      </w:r>
    </w:p>
    <w:p w14:paraId="0A3C3217" w14:textId="34AD4453" w:rsidR="00FB6429" w:rsidRDefault="006C5594" w:rsidP="00FB6429">
      <w:pPr>
        <w:pStyle w:val="ListParagraph"/>
        <w:numPr>
          <w:ilvl w:val="1"/>
          <w:numId w:val="10"/>
        </w:numPr>
        <w:spacing w:after="120"/>
        <w:ind w:left="709" w:hanging="709"/>
        <w:jc w:val="both"/>
      </w:pPr>
      <w:r>
        <w:t xml:space="preserve"> </w:t>
      </w:r>
      <w:r w:rsidR="005E0EC3" w:rsidRPr="006C5594">
        <w:t>Under the Council’s Financial Regulations</w:t>
      </w:r>
      <w:r w:rsidR="00FB6429">
        <w:t xml:space="preserve"> B66</w:t>
      </w:r>
      <w:r w:rsidR="00720057">
        <w:t xml:space="preserve">, </w:t>
      </w:r>
      <w:r w:rsidR="00442041">
        <w:t>a</w:t>
      </w:r>
      <w:r w:rsidR="00FB6429" w:rsidRPr="00FB6429">
        <w:t xml:space="preserve"> year-end balance is the amount by which actual income and expenditure varies from the final budget, normally identified down to budget manager level. Unspent balances will not be carried forward, except with the permission of the CFO. Unspent balances will only be considered for carry forward where: There is an unspent ring fenced grant and grant must be repaid if it is not spent on its intended purpose</w:t>
      </w:r>
      <w:r w:rsidR="00FB6429">
        <w:t>.</w:t>
      </w:r>
    </w:p>
    <w:p w14:paraId="0694FFB5" w14:textId="00C6F824" w:rsidR="003D3BE2" w:rsidRDefault="003D3BE2" w:rsidP="00FB6429">
      <w:pPr>
        <w:pStyle w:val="ListParagraph"/>
        <w:numPr>
          <w:ilvl w:val="1"/>
          <w:numId w:val="10"/>
        </w:numPr>
        <w:spacing w:after="120"/>
        <w:ind w:left="709" w:hanging="709"/>
        <w:jc w:val="both"/>
      </w:pPr>
      <w:r w:rsidRPr="003D3BE2">
        <w:t>Under the Council’s Financial Regulations</w:t>
      </w:r>
      <w:r>
        <w:t xml:space="preserve"> D22, </w:t>
      </w:r>
      <w:r w:rsidRPr="003D3BE2">
        <w:t>The CFO is responsible for writing off irrecoverable bad debts up to the limits specified in Section F where necessary. All requests for write-off must be accompanied by a brief report in a format specified by the CFO</w:t>
      </w:r>
      <w:r w:rsidR="00AF6ED8">
        <w:t>.</w:t>
      </w:r>
      <w:r w:rsidR="00AF6ED8" w:rsidRPr="00AF6ED8">
        <w:t xml:space="preserve"> Debts over £25,000 need cabinet approval to be written off</w:t>
      </w:r>
      <w:r w:rsidR="00AF6ED8">
        <w:t>.</w:t>
      </w:r>
    </w:p>
    <w:p w14:paraId="64881B38" w14:textId="77777777" w:rsidR="00CB4134" w:rsidRDefault="00CB4134">
      <w:pPr>
        <w:spacing w:after="240"/>
        <w:rPr>
          <w:b/>
          <w:sz w:val="28"/>
          <w:szCs w:val="28"/>
        </w:rPr>
      </w:pPr>
    </w:p>
    <w:p w14:paraId="4720DE6C" w14:textId="77777777" w:rsidR="005E0EC3" w:rsidRPr="00D341B1" w:rsidRDefault="00835EA0">
      <w:pPr>
        <w:spacing w:after="240"/>
        <w:rPr>
          <w:b/>
          <w:sz w:val="28"/>
          <w:szCs w:val="28"/>
        </w:rPr>
      </w:pPr>
      <w:r>
        <w:rPr>
          <w:b/>
          <w:sz w:val="28"/>
          <w:szCs w:val="28"/>
        </w:rPr>
        <w:t xml:space="preserve">5. </w:t>
      </w:r>
      <w:r w:rsidR="005E0EC3" w:rsidRPr="00D341B1">
        <w:rPr>
          <w:b/>
          <w:sz w:val="28"/>
          <w:szCs w:val="28"/>
        </w:rPr>
        <w:t>Equalities</w:t>
      </w:r>
    </w:p>
    <w:p w14:paraId="5301B810" w14:textId="149920CC" w:rsidR="00741AEB" w:rsidRPr="00374CD9" w:rsidRDefault="00741AEB" w:rsidP="00D73C5B">
      <w:pPr>
        <w:pStyle w:val="ListParagraph"/>
        <w:numPr>
          <w:ilvl w:val="1"/>
          <w:numId w:val="11"/>
        </w:numPr>
        <w:spacing w:after="240"/>
        <w:ind w:left="709" w:hanging="709"/>
        <w:jc w:val="both"/>
      </w:pPr>
      <w:r w:rsidRPr="00374CD9">
        <w:t xml:space="preserve">Decision makers should have due regard to the public sector equality </w:t>
      </w:r>
      <w:r w:rsidR="0020754A">
        <w:tab/>
      </w:r>
      <w:r w:rsidRPr="00374CD9">
        <w:t xml:space="preserve">duty in making their decisions. The equalities duties are continuing </w:t>
      </w:r>
      <w:r w:rsidR="0020754A">
        <w:tab/>
      </w:r>
      <w:r w:rsidRPr="00374CD9">
        <w:t xml:space="preserve">duties they are not duties to secure a particular outcome. The </w:t>
      </w:r>
      <w:r w:rsidR="0020754A">
        <w:tab/>
      </w:r>
      <w:r w:rsidRPr="00374CD9">
        <w:t xml:space="preserve">equalities impact will be revisited on each of the proposals as they are developed. Consideration of the duties should precede the decision. It </w:t>
      </w:r>
      <w:r w:rsidR="0020754A">
        <w:tab/>
      </w:r>
      <w:r w:rsidRPr="00374CD9">
        <w:t xml:space="preserve">is important that Cabinet has regard to the statutory grounds in the light </w:t>
      </w:r>
      <w:r w:rsidR="0020754A">
        <w:tab/>
      </w:r>
      <w:r w:rsidRPr="00374CD9">
        <w:t xml:space="preserve">of all available material such as consultation responses. The statutory </w:t>
      </w:r>
      <w:r w:rsidR="0020754A">
        <w:tab/>
      </w:r>
      <w:r w:rsidRPr="00374CD9">
        <w:t xml:space="preserve">grounds of the public sector equality duty are found at section 149 of </w:t>
      </w:r>
      <w:r w:rsidR="00720057">
        <w:t>t</w:t>
      </w:r>
      <w:r w:rsidRPr="00374CD9">
        <w:t>he Equality Act 2010 and are as follows:</w:t>
      </w:r>
    </w:p>
    <w:p w14:paraId="03FF2E0F" w14:textId="261293CF" w:rsidR="00741AEB" w:rsidRPr="0020754A" w:rsidRDefault="0020754A" w:rsidP="00D73C5B">
      <w:pPr>
        <w:pStyle w:val="ListParagraph"/>
        <w:numPr>
          <w:ilvl w:val="1"/>
          <w:numId w:val="11"/>
        </w:numPr>
        <w:spacing w:after="240"/>
        <w:ind w:left="709" w:hanging="709"/>
        <w:jc w:val="both"/>
        <w:rPr>
          <w:szCs w:val="24"/>
        </w:rPr>
      </w:pPr>
      <w:r>
        <w:lastRenderedPageBreak/>
        <w:t xml:space="preserve"> </w:t>
      </w:r>
      <w:r w:rsidR="00741AEB" w:rsidRPr="00374CD9">
        <w:t>A public authority must, in the exercise of its functions, have due regard to the</w:t>
      </w:r>
      <w:r w:rsidR="00741AEB" w:rsidRPr="0020754A">
        <w:rPr>
          <w:szCs w:val="24"/>
        </w:rPr>
        <w:t xml:space="preserve"> need to:</w:t>
      </w:r>
    </w:p>
    <w:p w14:paraId="6F96ACAB" w14:textId="77777777" w:rsidR="00741AEB" w:rsidRPr="008B25B2" w:rsidRDefault="00751215" w:rsidP="00720057">
      <w:pPr>
        <w:pStyle w:val="ListParagraph"/>
        <w:numPr>
          <w:ilvl w:val="0"/>
          <w:numId w:val="14"/>
        </w:numPr>
        <w:spacing w:after="120"/>
        <w:jc w:val="both"/>
        <w:rPr>
          <w:szCs w:val="24"/>
        </w:rPr>
      </w:pPr>
      <w:r>
        <w:rPr>
          <w:szCs w:val="24"/>
        </w:rPr>
        <w:t>E</w:t>
      </w:r>
      <w:r w:rsidR="00741AEB" w:rsidRPr="006B1DE1">
        <w:rPr>
          <w:szCs w:val="24"/>
        </w:rPr>
        <w:t xml:space="preserve">liminate discrimination, harassment, victimisation and any other </w:t>
      </w:r>
      <w:r w:rsidR="00741AEB" w:rsidRPr="00440EBF">
        <w:rPr>
          <w:szCs w:val="24"/>
        </w:rPr>
        <w:t>conduct that is prohibited by or under this Act;</w:t>
      </w:r>
    </w:p>
    <w:p w14:paraId="026B174F" w14:textId="77777777" w:rsidR="00741AEB" w:rsidRPr="008D4ADA" w:rsidRDefault="00751215" w:rsidP="00720057">
      <w:pPr>
        <w:pStyle w:val="ListParagraph"/>
        <w:numPr>
          <w:ilvl w:val="0"/>
          <w:numId w:val="14"/>
        </w:numPr>
        <w:spacing w:after="120"/>
        <w:jc w:val="both"/>
        <w:rPr>
          <w:szCs w:val="24"/>
        </w:rPr>
      </w:pPr>
      <w:r w:rsidRPr="003728EE">
        <w:rPr>
          <w:szCs w:val="24"/>
        </w:rPr>
        <w:t>A</w:t>
      </w:r>
      <w:r w:rsidR="00741AEB" w:rsidRPr="008D4ADA">
        <w:rPr>
          <w:szCs w:val="24"/>
        </w:rPr>
        <w:t>dvance equality of opportunity between persons who share a relevant protected characteristic and persons who do not share it;</w:t>
      </w:r>
    </w:p>
    <w:p w14:paraId="6169D67D" w14:textId="77777777" w:rsidR="00741AEB" w:rsidRPr="009E22B0" w:rsidRDefault="0039329E" w:rsidP="00720057">
      <w:pPr>
        <w:pStyle w:val="ListParagraph"/>
        <w:numPr>
          <w:ilvl w:val="0"/>
          <w:numId w:val="14"/>
        </w:numPr>
        <w:spacing w:after="120"/>
        <w:jc w:val="both"/>
        <w:rPr>
          <w:szCs w:val="24"/>
        </w:rPr>
      </w:pPr>
      <w:r w:rsidRPr="009E22B0">
        <w:rPr>
          <w:szCs w:val="24"/>
        </w:rPr>
        <w:t>F</w:t>
      </w:r>
      <w:r w:rsidR="00741AEB" w:rsidRPr="009E22B0">
        <w:rPr>
          <w:szCs w:val="24"/>
        </w:rPr>
        <w:t>oster good relations between persons who share a relevant protected characteristic and persons who do not share it.</w:t>
      </w:r>
    </w:p>
    <w:p w14:paraId="34565A5F" w14:textId="77777777" w:rsidR="00741AEB" w:rsidRPr="00440EBF" w:rsidRDefault="0020754A" w:rsidP="00720057">
      <w:pPr>
        <w:pStyle w:val="ListParagraph"/>
        <w:numPr>
          <w:ilvl w:val="1"/>
          <w:numId w:val="11"/>
        </w:numPr>
        <w:spacing w:after="120"/>
        <w:jc w:val="both"/>
        <w:rPr>
          <w:szCs w:val="24"/>
        </w:rPr>
      </w:pPr>
      <w:r>
        <w:t xml:space="preserve">     </w:t>
      </w:r>
      <w:r w:rsidR="00741AEB" w:rsidRPr="00A969AA">
        <w:t>Having</w:t>
      </w:r>
      <w:r w:rsidR="00741AEB" w:rsidRPr="0039329E">
        <w:rPr>
          <w:szCs w:val="24"/>
        </w:rPr>
        <w:t xml:space="preserve"> due regard to the need to advance equality of opportunity </w:t>
      </w:r>
      <w:r>
        <w:rPr>
          <w:szCs w:val="24"/>
        </w:rPr>
        <w:tab/>
      </w:r>
      <w:r w:rsidR="00741AEB" w:rsidRPr="0039329E">
        <w:rPr>
          <w:szCs w:val="24"/>
        </w:rPr>
        <w:t xml:space="preserve">between persons who share a relevant protected characteristic and </w:t>
      </w:r>
      <w:r>
        <w:rPr>
          <w:szCs w:val="24"/>
        </w:rPr>
        <w:tab/>
      </w:r>
      <w:r w:rsidR="00741AEB" w:rsidRPr="0039329E">
        <w:rPr>
          <w:szCs w:val="24"/>
        </w:rPr>
        <w:t xml:space="preserve">persons who do not share it involves having due regard, in particular, </w:t>
      </w:r>
      <w:r>
        <w:rPr>
          <w:szCs w:val="24"/>
        </w:rPr>
        <w:tab/>
      </w:r>
      <w:r w:rsidR="00741AEB" w:rsidRPr="0039329E">
        <w:rPr>
          <w:szCs w:val="24"/>
        </w:rPr>
        <w:t>to the need to:</w:t>
      </w:r>
    </w:p>
    <w:p w14:paraId="6FD5BAA3" w14:textId="77777777" w:rsidR="00741AEB" w:rsidRPr="008D4ADA" w:rsidRDefault="00751215" w:rsidP="00720057">
      <w:pPr>
        <w:pStyle w:val="ListParagraph"/>
        <w:numPr>
          <w:ilvl w:val="0"/>
          <w:numId w:val="15"/>
        </w:numPr>
        <w:spacing w:after="120"/>
        <w:jc w:val="both"/>
        <w:rPr>
          <w:szCs w:val="24"/>
        </w:rPr>
      </w:pPr>
      <w:r w:rsidRPr="008D4ADA">
        <w:rPr>
          <w:szCs w:val="24"/>
        </w:rPr>
        <w:t>R</w:t>
      </w:r>
      <w:r w:rsidR="00741AEB" w:rsidRPr="008D4ADA">
        <w:rPr>
          <w:szCs w:val="24"/>
        </w:rPr>
        <w:t>emove or minimise disadvantages suffered by persons who share a relevant protected characteristic that are connected to that characteristic;</w:t>
      </w:r>
    </w:p>
    <w:p w14:paraId="7565EE08" w14:textId="77777777" w:rsidR="00741AEB" w:rsidRPr="006B1DE1" w:rsidRDefault="00741AEB" w:rsidP="00720057">
      <w:pPr>
        <w:spacing w:after="120"/>
        <w:ind w:left="720"/>
        <w:jc w:val="both"/>
        <w:rPr>
          <w:szCs w:val="24"/>
        </w:rPr>
      </w:pPr>
      <w:r w:rsidRPr="006B1DE1">
        <w:rPr>
          <w:szCs w:val="24"/>
        </w:rPr>
        <w:t xml:space="preserve">(b) </w:t>
      </w:r>
      <w:r w:rsidR="00751215">
        <w:rPr>
          <w:szCs w:val="24"/>
        </w:rPr>
        <w:t>T</w:t>
      </w:r>
      <w:r w:rsidRPr="006B1DE1">
        <w:rPr>
          <w:szCs w:val="24"/>
        </w:rPr>
        <w:t>ake steps to meet the needs of persons who share a relevant</w:t>
      </w:r>
      <w:r w:rsidR="00B16263">
        <w:rPr>
          <w:szCs w:val="24"/>
        </w:rPr>
        <w:t xml:space="preserve">         </w:t>
      </w:r>
      <w:r w:rsidRPr="006B1DE1">
        <w:rPr>
          <w:szCs w:val="24"/>
        </w:rPr>
        <w:t>protected characteristic that are different from the needs of persons who do not share it;</w:t>
      </w:r>
    </w:p>
    <w:p w14:paraId="62699B9F" w14:textId="77777777" w:rsidR="00741AEB" w:rsidRPr="006B1DE1" w:rsidRDefault="00741AEB">
      <w:pPr>
        <w:spacing w:after="240"/>
        <w:ind w:left="720"/>
        <w:jc w:val="both"/>
        <w:rPr>
          <w:szCs w:val="24"/>
        </w:rPr>
      </w:pPr>
      <w:r w:rsidRPr="006B1DE1">
        <w:rPr>
          <w:szCs w:val="24"/>
        </w:rPr>
        <w:t>(c)</w:t>
      </w:r>
      <w:r w:rsidR="0039329E">
        <w:rPr>
          <w:szCs w:val="24"/>
        </w:rPr>
        <w:t xml:space="preserve"> </w:t>
      </w:r>
      <w:r w:rsidRPr="006B1DE1">
        <w:rPr>
          <w:szCs w:val="24"/>
        </w:rPr>
        <w:t xml:space="preserve"> </w:t>
      </w:r>
      <w:r w:rsidR="00751215">
        <w:rPr>
          <w:szCs w:val="24"/>
        </w:rPr>
        <w:t>E</w:t>
      </w:r>
      <w:r w:rsidRPr="006B1DE1">
        <w:rPr>
          <w:szCs w:val="24"/>
        </w:rPr>
        <w:t>ncourage persons who share a relevant protected characteristic to participate in public life or in any other activity in which participation by such persons is disproportionately low.</w:t>
      </w:r>
    </w:p>
    <w:p w14:paraId="08840033" w14:textId="77777777" w:rsidR="00741AEB" w:rsidRPr="008B25B2" w:rsidRDefault="0020754A" w:rsidP="00D73C5B">
      <w:pPr>
        <w:spacing w:after="240"/>
        <w:ind w:left="709" w:hanging="709"/>
        <w:jc w:val="both"/>
        <w:rPr>
          <w:szCs w:val="24"/>
        </w:rPr>
      </w:pPr>
      <w:r>
        <w:t xml:space="preserve">5.4     </w:t>
      </w:r>
      <w:r w:rsidR="00741AEB" w:rsidRPr="00A969AA">
        <w:t>The</w:t>
      </w:r>
      <w:r w:rsidR="00741AEB" w:rsidRPr="0039329E">
        <w:rPr>
          <w:szCs w:val="24"/>
        </w:rPr>
        <w:t xml:space="preserve"> steps involved in mee</w:t>
      </w:r>
      <w:r w:rsidR="00741AEB" w:rsidRPr="00440EBF">
        <w:rPr>
          <w:szCs w:val="24"/>
        </w:rPr>
        <w:t>ting the needs of disabled persons that are</w:t>
      </w:r>
      <w:r>
        <w:rPr>
          <w:szCs w:val="24"/>
        </w:rPr>
        <w:t xml:space="preserve"> </w:t>
      </w:r>
      <w:r>
        <w:rPr>
          <w:szCs w:val="24"/>
        </w:rPr>
        <w:tab/>
      </w:r>
      <w:r w:rsidR="00741AEB" w:rsidRPr="00440EBF">
        <w:rPr>
          <w:szCs w:val="24"/>
        </w:rPr>
        <w:t>different from the needs of persons who are not disabled include, in</w:t>
      </w:r>
      <w:r>
        <w:rPr>
          <w:szCs w:val="24"/>
        </w:rPr>
        <w:t xml:space="preserve"> </w:t>
      </w:r>
      <w:r>
        <w:rPr>
          <w:szCs w:val="24"/>
        </w:rPr>
        <w:tab/>
      </w:r>
      <w:r w:rsidR="00741AEB" w:rsidRPr="00440EBF">
        <w:rPr>
          <w:szCs w:val="24"/>
        </w:rPr>
        <w:t>particular, steps to take account of disabled persons’ disabilities.</w:t>
      </w:r>
    </w:p>
    <w:p w14:paraId="4B086B69" w14:textId="7F064444" w:rsidR="00B0165A" w:rsidRPr="0039329E" w:rsidRDefault="0020754A" w:rsidP="00720057">
      <w:pPr>
        <w:pStyle w:val="ListParagraph"/>
        <w:numPr>
          <w:ilvl w:val="1"/>
          <w:numId w:val="12"/>
        </w:numPr>
        <w:tabs>
          <w:tab w:val="left" w:pos="709"/>
        </w:tabs>
        <w:spacing w:after="240"/>
        <w:ind w:left="567" w:hanging="567"/>
        <w:jc w:val="both"/>
        <w:rPr>
          <w:szCs w:val="24"/>
        </w:rPr>
      </w:pPr>
      <w:r>
        <w:t xml:space="preserve">  </w:t>
      </w:r>
      <w:r w:rsidR="00741AEB" w:rsidRPr="00A969AA">
        <w:t>Having</w:t>
      </w:r>
      <w:r w:rsidR="00741AEB" w:rsidRPr="0039329E">
        <w:rPr>
          <w:szCs w:val="24"/>
        </w:rPr>
        <w:t xml:space="preserve"> </w:t>
      </w:r>
      <w:r w:rsidR="00741AEB" w:rsidRPr="0031658B">
        <w:t>due</w:t>
      </w:r>
      <w:r w:rsidR="00741AEB" w:rsidRPr="0039329E">
        <w:rPr>
          <w:szCs w:val="24"/>
        </w:rPr>
        <w:t xml:space="preserve"> regard to the need to foster good relations between </w:t>
      </w:r>
      <w:r>
        <w:rPr>
          <w:szCs w:val="24"/>
        </w:rPr>
        <w:tab/>
      </w:r>
      <w:r w:rsidR="00741AEB" w:rsidRPr="0039329E">
        <w:rPr>
          <w:szCs w:val="24"/>
        </w:rPr>
        <w:t xml:space="preserve">persons who share a relevant protected characteristic and persons </w:t>
      </w:r>
      <w:r>
        <w:rPr>
          <w:szCs w:val="24"/>
        </w:rPr>
        <w:tab/>
      </w:r>
      <w:r w:rsidR="00741AEB" w:rsidRPr="0039329E">
        <w:rPr>
          <w:szCs w:val="24"/>
        </w:rPr>
        <w:t xml:space="preserve">who do not share it involves having due regard, in particular, to the </w:t>
      </w:r>
      <w:r>
        <w:rPr>
          <w:szCs w:val="24"/>
        </w:rPr>
        <w:tab/>
      </w:r>
      <w:r w:rsidR="00741AEB" w:rsidRPr="0039329E">
        <w:rPr>
          <w:szCs w:val="24"/>
        </w:rPr>
        <w:t>need to:</w:t>
      </w:r>
    </w:p>
    <w:p w14:paraId="1D0D6E8B" w14:textId="77777777" w:rsidR="00741AEB" w:rsidRPr="008B25B2" w:rsidRDefault="00B0165A" w:rsidP="009E22B0">
      <w:pPr>
        <w:spacing w:after="240"/>
        <w:rPr>
          <w:szCs w:val="24"/>
        </w:rPr>
      </w:pPr>
      <w:r>
        <w:rPr>
          <w:szCs w:val="24"/>
        </w:rPr>
        <w:t xml:space="preserve">           </w:t>
      </w:r>
      <w:r w:rsidRPr="0039329E">
        <w:rPr>
          <w:szCs w:val="24"/>
        </w:rPr>
        <w:t xml:space="preserve">a)  </w:t>
      </w:r>
      <w:r w:rsidR="00741AEB" w:rsidRPr="00440EBF">
        <w:rPr>
          <w:szCs w:val="24"/>
        </w:rPr>
        <w:t>Tackle prejudice, and</w:t>
      </w:r>
    </w:p>
    <w:p w14:paraId="27568458" w14:textId="77777777" w:rsidR="00741AEB" w:rsidRPr="008D4ADA" w:rsidRDefault="00741AEB" w:rsidP="00173DA5">
      <w:pPr>
        <w:pStyle w:val="ListParagraph"/>
        <w:numPr>
          <w:ilvl w:val="0"/>
          <w:numId w:val="13"/>
        </w:numPr>
        <w:spacing w:after="240"/>
        <w:jc w:val="both"/>
        <w:rPr>
          <w:szCs w:val="24"/>
        </w:rPr>
      </w:pPr>
      <w:r w:rsidRPr="003728EE">
        <w:rPr>
          <w:szCs w:val="24"/>
        </w:rPr>
        <w:t>Promote understanding.</w:t>
      </w:r>
    </w:p>
    <w:p w14:paraId="3D1FE023" w14:textId="72E20D7A" w:rsidR="00741AEB" w:rsidRPr="00440EBF" w:rsidRDefault="00741AEB" w:rsidP="00D73C5B">
      <w:pPr>
        <w:pStyle w:val="ListParagraph"/>
        <w:numPr>
          <w:ilvl w:val="1"/>
          <w:numId w:val="12"/>
        </w:numPr>
        <w:spacing w:after="240"/>
        <w:ind w:left="709" w:hanging="709"/>
        <w:jc w:val="both"/>
        <w:rPr>
          <w:szCs w:val="24"/>
        </w:rPr>
      </w:pPr>
      <w:r w:rsidRPr="00A969AA">
        <w:t>Compliance</w:t>
      </w:r>
      <w:r w:rsidRPr="0039329E">
        <w:rPr>
          <w:szCs w:val="24"/>
        </w:rPr>
        <w:t xml:space="preserve"> with the duties in this section </w:t>
      </w:r>
      <w:r w:rsidRPr="00440EBF">
        <w:rPr>
          <w:szCs w:val="24"/>
        </w:rPr>
        <w:t xml:space="preserve">may involve treating some </w:t>
      </w:r>
      <w:r w:rsidR="0020754A">
        <w:rPr>
          <w:szCs w:val="24"/>
        </w:rPr>
        <w:tab/>
      </w:r>
      <w:r w:rsidRPr="0039329E">
        <w:rPr>
          <w:szCs w:val="24"/>
        </w:rPr>
        <w:t xml:space="preserve">persons more favourably than others; but that is not to be taken as </w:t>
      </w:r>
      <w:r w:rsidR="0020754A">
        <w:rPr>
          <w:szCs w:val="24"/>
        </w:rPr>
        <w:tab/>
      </w:r>
      <w:r w:rsidRPr="0039329E">
        <w:rPr>
          <w:szCs w:val="24"/>
        </w:rPr>
        <w:t xml:space="preserve">permitting conduct that would otherwise be prohibited by or under this </w:t>
      </w:r>
      <w:r w:rsidR="0020754A">
        <w:rPr>
          <w:szCs w:val="24"/>
        </w:rPr>
        <w:tab/>
      </w:r>
      <w:r w:rsidRPr="0039329E">
        <w:rPr>
          <w:szCs w:val="24"/>
        </w:rPr>
        <w:t>Act. The relevant protected characteristics are:</w:t>
      </w:r>
    </w:p>
    <w:p w14:paraId="0AE67316" w14:textId="77777777" w:rsidR="00741AEB" w:rsidRPr="006B1DE1" w:rsidRDefault="00741AEB" w:rsidP="00173DA5">
      <w:pPr>
        <w:pStyle w:val="ListParagraph"/>
        <w:numPr>
          <w:ilvl w:val="0"/>
          <w:numId w:val="2"/>
        </w:numPr>
        <w:spacing w:after="240"/>
        <w:jc w:val="both"/>
        <w:rPr>
          <w:szCs w:val="24"/>
        </w:rPr>
      </w:pPr>
      <w:r w:rsidRPr="006B1DE1">
        <w:rPr>
          <w:szCs w:val="24"/>
        </w:rPr>
        <w:t>Age</w:t>
      </w:r>
    </w:p>
    <w:p w14:paraId="45D9DAB3" w14:textId="77777777" w:rsidR="00741AEB" w:rsidRPr="006B1DE1" w:rsidRDefault="00741AEB" w:rsidP="00173DA5">
      <w:pPr>
        <w:pStyle w:val="ListParagraph"/>
        <w:numPr>
          <w:ilvl w:val="0"/>
          <w:numId w:val="2"/>
        </w:numPr>
        <w:spacing w:after="240"/>
        <w:jc w:val="both"/>
        <w:rPr>
          <w:szCs w:val="24"/>
        </w:rPr>
      </w:pPr>
      <w:r w:rsidRPr="006B1DE1">
        <w:rPr>
          <w:szCs w:val="24"/>
        </w:rPr>
        <w:t>Disability</w:t>
      </w:r>
    </w:p>
    <w:p w14:paraId="51A7D859" w14:textId="77777777" w:rsidR="00741AEB" w:rsidRPr="006B1DE1" w:rsidRDefault="00741AEB" w:rsidP="00173DA5">
      <w:pPr>
        <w:pStyle w:val="ListParagraph"/>
        <w:numPr>
          <w:ilvl w:val="0"/>
          <w:numId w:val="2"/>
        </w:numPr>
        <w:spacing w:after="240"/>
        <w:jc w:val="both"/>
        <w:rPr>
          <w:szCs w:val="24"/>
        </w:rPr>
      </w:pPr>
      <w:r w:rsidRPr="006B1DE1">
        <w:rPr>
          <w:szCs w:val="24"/>
        </w:rPr>
        <w:t>Gender reassignment</w:t>
      </w:r>
    </w:p>
    <w:p w14:paraId="2F23A793" w14:textId="77777777" w:rsidR="00741AEB" w:rsidRPr="006B1DE1" w:rsidRDefault="00741AEB" w:rsidP="00173DA5">
      <w:pPr>
        <w:pStyle w:val="ListParagraph"/>
        <w:numPr>
          <w:ilvl w:val="0"/>
          <w:numId w:val="2"/>
        </w:numPr>
        <w:spacing w:after="240"/>
        <w:jc w:val="both"/>
        <w:rPr>
          <w:szCs w:val="24"/>
        </w:rPr>
      </w:pPr>
      <w:r w:rsidRPr="006B1DE1">
        <w:rPr>
          <w:szCs w:val="24"/>
        </w:rPr>
        <w:t>Pregnancy and maternity</w:t>
      </w:r>
    </w:p>
    <w:p w14:paraId="05E072B2" w14:textId="5BD1F5A9" w:rsidR="00741AEB" w:rsidRPr="006B1DE1" w:rsidRDefault="00531BC8" w:rsidP="00173DA5">
      <w:pPr>
        <w:pStyle w:val="ListParagraph"/>
        <w:numPr>
          <w:ilvl w:val="0"/>
          <w:numId w:val="2"/>
        </w:numPr>
        <w:spacing w:after="240"/>
        <w:jc w:val="both"/>
        <w:rPr>
          <w:szCs w:val="24"/>
        </w:rPr>
      </w:pPr>
      <w:r>
        <w:rPr>
          <w:szCs w:val="24"/>
        </w:rPr>
        <w:t>Race</w:t>
      </w:r>
    </w:p>
    <w:p w14:paraId="0E9CC44C" w14:textId="77777777" w:rsidR="00741AEB" w:rsidRPr="006B1DE1" w:rsidRDefault="00741AEB" w:rsidP="00173DA5">
      <w:pPr>
        <w:pStyle w:val="ListParagraph"/>
        <w:numPr>
          <w:ilvl w:val="0"/>
          <w:numId w:val="2"/>
        </w:numPr>
        <w:spacing w:after="240"/>
        <w:jc w:val="both"/>
        <w:rPr>
          <w:szCs w:val="24"/>
        </w:rPr>
      </w:pPr>
      <w:r w:rsidRPr="006B1DE1">
        <w:rPr>
          <w:szCs w:val="24"/>
        </w:rPr>
        <w:t>Religion or belief</w:t>
      </w:r>
    </w:p>
    <w:p w14:paraId="2F2362D7" w14:textId="77777777" w:rsidR="00741AEB" w:rsidRPr="006B1DE1" w:rsidRDefault="00741AEB" w:rsidP="00173DA5">
      <w:pPr>
        <w:pStyle w:val="ListParagraph"/>
        <w:numPr>
          <w:ilvl w:val="0"/>
          <w:numId w:val="2"/>
        </w:numPr>
        <w:spacing w:after="240"/>
        <w:jc w:val="both"/>
        <w:rPr>
          <w:szCs w:val="24"/>
        </w:rPr>
      </w:pPr>
      <w:r w:rsidRPr="006B1DE1">
        <w:rPr>
          <w:szCs w:val="24"/>
        </w:rPr>
        <w:lastRenderedPageBreak/>
        <w:t>Sex</w:t>
      </w:r>
    </w:p>
    <w:p w14:paraId="7B9393AA" w14:textId="77777777" w:rsidR="00741AEB" w:rsidRPr="006B1DE1" w:rsidRDefault="00741AEB" w:rsidP="00173DA5">
      <w:pPr>
        <w:pStyle w:val="ListParagraph"/>
        <w:numPr>
          <w:ilvl w:val="0"/>
          <w:numId w:val="2"/>
        </w:numPr>
        <w:spacing w:after="240"/>
        <w:jc w:val="both"/>
        <w:rPr>
          <w:szCs w:val="24"/>
        </w:rPr>
      </w:pPr>
      <w:r w:rsidRPr="006B1DE1">
        <w:rPr>
          <w:szCs w:val="24"/>
        </w:rPr>
        <w:t>Sexual orientation</w:t>
      </w:r>
    </w:p>
    <w:p w14:paraId="6794DE7C" w14:textId="018B0D96" w:rsidR="00741AEB" w:rsidRDefault="00741AEB" w:rsidP="00173DA5">
      <w:pPr>
        <w:pStyle w:val="ListParagraph"/>
        <w:numPr>
          <w:ilvl w:val="0"/>
          <w:numId w:val="2"/>
        </w:numPr>
        <w:spacing w:after="240"/>
        <w:jc w:val="both"/>
        <w:rPr>
          <w:szCs w:val="24"/>
        </w:rPr>
      </w:pPr>
      <w:r w:rsidRPr="006B1DE1">
        <w:rPr>
          <w:szCs w:val="24"/>
        </w:rPr>
        <w:t>Marriage and Civil partnership</w:t>
      </w:r>
      <w:r w:rsidR="00321F56">
        <w:rPr>
          <w:szCs w:val="24"/>
        </w:rPr>
        <w:t>.</w:t>
      </w:r>
      <w:r w:rsidRPr="006B1DE1">
        <w:rPr>
          <w:szCs w:val="24"/>
        </w:rPr>
        <w:t xml:space="preserve">       </w:t>
      </w:r>
    </w:p>
    <w:p w14:paraId="5528334E" w14:textId="77E6A568" w:rsidR="005E0EC3" w:rsidRPr="00BD22E6" w:rsidRDefault="00720057" w:rsidP="00720057">
      <w:pPr>
        <w:pStyle w:val="ListParagraph"/>
        <w:numPr>
          <w:ilvl w:val="1"/>
          <w:numId w:val="12"/>
        </w:numPr>
        <w:spacing w:after="240"/>
        <w:ind w:left="426" w:hanging="568"/>
        <w:jc w:val="both"/>
        <w:rPr>
          <w:rFonts w:cs="Arial"/>
          <w:szCs w:val="24"/>
        </w:rPr>
      </w:pPr>
      <w:r>
        <w:t xml:space="preserve">  </w:t>
      </w:r>
      <w:r w:rsidR="00B0165A">
        <w:t xml:space="preserve"> </w:t>
      </w:r>
      <w:r w:rsidR="00AD73E5" w:rsidRPr="006B1DE1">
        <w:t>A full equalities impact asses</w:t>
      </w:r>
      <w:r w:rsidR="0021334B">
        <w:t>sment was completed on the 20</w:t>
      </w:r>
      <w:r w:rsidR="00AD73E5" w:rsidRPr="006B1DE1">
        <w:t>16</w:t>
      </w:r>
      <w:r w:rsidR="0021334B">
        <w:t>/17</w:t>
      </w:r>
      <w:r w:rsidR="00AD73E5" w:rsidRPr="006B1DE1">
        <w:t xml:space="preserve"> </w:t>
      </w:r>
      <w:r w:rsidR="00B0165A">
        <w:tab/>
      </w:r>
      <w:r w:rsidR="00AD73E5" w:rsidRPr="006B1DE1">
        <w:t xml:space="preserve">budget when the budget was set by Full Council. Equalities </w:t>
      </w:r>
      <w:r w:rsidR="00B0165A">
        <w:tab/>
      </w:r>
      <w:r w:rsidR="00AD73E5" w:rsidRPr="006B1DE1">
        <w:t xml:space="preserve">implications are taken into account by individual directorates whilst </w:t>
      </w:r>
      <w:r w:rsidR="00BD22E6">
        <w:tab/>
      </w:r>
      <w:r w:rsidR="00AD73E5" w:rsidRPr="006B1DE1">
        <w:t xml:space="preserve">running services and making decisions to </w:t>
      </w:r>
      <w:proofErr w:type="spellStart"/>
      <w:r w:rsidR="00AD73E5" w:rsidRPr="006B1DE1">
        <w:t>vire</w:t>
      </w:r>
      <w:proofErr w:type="spellEnd"/>
      <w:r w:rsidR="00AD73E5" w:rsidRPr="006B1DE1">
        <w:t xml:space="preserve"> money. A full equality </w:t>
      </w:r>
      <w:r w:rsidR="00BD22E6">
        <w:tab/>
      </w:r>
      <w:r w:rsidR="00AD73E5" w:rsidRPr="006B1DE1">
        <w:t>impact assessment will be c</w:t>
      </w:r>
      <w:r w:rsidR="0021334B">
        <w:t>ompleted on the budget for 20</w:t>
      </w:r>
      <w:r w:rsidR="00AD73E5" w:rsidRPr="006B1DE1">
        <w:t>17</w:t>
      </w:r>
      <w:r w:rsidR="0021334B">
        <w:t>/18.</w:t>
      </w:r>
    </w:p>
    <w:p w14:paraId="024525A2" w14:textId="77777777" w:rsidR="00BD22E6" w:rsidRDefault="00BD22E6" w:rsidP="00FC2412">
      <w:pPr>
        <w:pStyle w:val="Heading2"/>
        <w:jc w:val="both"/>
      </w:pPr>
    </w:p>
    <w:p w14:paraId="1C580A18" w14:textId="77777777" w:rsidR="00F67A46" w:rsidRPr="00F67A46" w:rsidRDefault="00F67A46" w:rsidP="00F67A46"/>
    <w:p w14:paraId="31C179B7" w14:textId="77777777" w:rsidR="00741AEB" w:rsidRDefault="009E5B1B" w:rsidP="00835EA0">
      <w:pPr>
        <w:pStyle w:val="Heading2"/>
      </w:pPr>
      <w:r>
        <w:t xml:space="preserve">6. </w:t>
      </w:r>
      <w:r w:rsidR="00AA383D">
        <w:t xml:space="preserve"> </w:t>
      </w:r>
      <w:r w:rsidR="00741AEB" w:rsidRPr="006B1DE1">
        <w:t>Financial Implications</w:t>
      </w:r>
    </w:p>
    <w:p w14:paraId="66672E5B" w14:textId="77777777" w:rsidR="00BD22E6" w:rsidRPr="0039329E" w:rsidRDefault="00BD22E6" w:rsidP="009E22B0"/>
    <w:p w14:paraId="1F6A57D7" w14:textId="7CD4B5D1" w:rsidR="00741AEB" w:rsidRPr="006B1DE1" w:rsidRDefault="00374CD9" w:rsidP="009E22B0">
      <w:pPr>
        <w:spacing w:after="240"/>
        <w:ind w:left="360"/>
      </w:pPr>
      <w:r w:rsidRPr="001C46E8">
        <w:t>F</w:t>
      </w:r>
      <w:r w:rsidR="00741AEB" w:rsidRPr="001C46E8">
        <w:t>inancial matters are integral to the report.</w:t>
      </w:r>
    </w:p>
    <w:p w14:paraId="4DB89378" w14:textId="77777777" w:rsidR="00741AEB" w:rsidRDefault="009E5B1B" w:rsidP="009E5B1B">
      <w:pPr>
        <w:pStyle w:val="Heading2"/>
      </w:pPr>
      <w:r>
        <w:t xml:space="preserve">7. </w:t>
      </w:r>
      <w:r w:rsidR="00AA383D">
        <w:t xml:space="preserve"> </w:t>
      </w:r>
      <w:r w:rsidR="00741AEB" w:rsidRPr="006B1DE1">
        <w:t>Performance Issues</w:t>
      </w:r>
    </w:p>
    <w:p w14:paraId="3CFE3D8F" w14:textId="77777777" w:rsidR="00BD22E6" w:rsidRPr="0039329E" w:rsidRDefault="00BD22E6" w:rsidP="009E22B0"/>
    <w:p w14:paraId="008C5E0F" w14:textId="77777777" w:rsidR="0021777C" w:rsidRDefault="0021777C" w:rsidP="00FC2412">
      <w:pPr>
        <w:ind w:left="360"/>
        <w:jc w:val="both"/>
      </w:pPr>
      <w:r w:rsidRPr="0021777C">
        <w:t>Good financial performance is essential to achieving a balanced budget.  The financial performance is integrated with the strategic performance of the Council through quarterly Directorate Improvement Boards which consider the financial position alongside performance including key projects, service KPIs (including customer data and complaints) and workforce. Monitoring of finance and performance is reported regularly to the Corporate Strategic Board and Cabinet and is also considered by the Council's Performance and Finance Scrutiny Sub- Committee.</w:t>
      </w:r>
    </w:p>
    <w:p w14:paraId="24012763" w14:textId="77777777" w:rsidR="0021777C" w:rsidRPr="0021777C" w:rsidRDefault="0021777C" w:rsidP="00FC2412">
      <w:pPr>
        <w:ind w:left="360"/>
        <w:jc w:val="both"/>
      </w:pPr>
    </w:p>
    <w:p w14:paraId="5B50D4CF" w14:textId="66C4F11B" w:rsidR="005E4706" w:rsidRDefault="0021777C" w:rsidP="00FC2412">
      <w:pPr>
        <w:ind w:left="360"/>
        <w:jc w:val="both"/>
      </w:pPr>
      <w:r w:rsidRPr="0021777C">
        <w:t xml:space="preserve">The overall </w:t>
      </w:r>
      <w:r w:rsidR="000119C0">
        <w:t xml:space="preserve">net </w:t>
      </w:r>
      <w:r w:rsidRPr="0021777C">
        <w:t>projected variance</w:t>
      </w:r>
      <w:r w:rsidR="00C07569">
        <w:t xml:space="preserve"> of £5.134</w:t>
      </w:r>
      <w:r w:rsidR="000119C0">
        <w:t>m</w:t>
      </w:r>
      <w:r w:rsidRPr="0021777C">
        <w:t xml:space="preserve"> from the revenue budget</w:t>
      </w:r>
      <w:r w:rsidR="000119C0">
        <w:t xml:space="preserve"> of £164.9m </w:t>
      </w:r>
      <w:r w:rsidRPr="0021777C">
        <w:t>is currently fo</w:t>
      </w:r>
      <w:r w:rsidR="00C07569">
        <w:t xml:space="preserve">recast to be an overspend of </w:t>
      </w:r>
      <w:r w:rsidR="000119C0">
        <w:t>3</w:t>
      </w:r>
      <w:r w:rsidR="00C07569">
        <w:t>.1</w:t>
      </w:r>
      <w:r w:rsidRPr="0021777C">
        <w:t xml:space="preserve">%. </w:t>
      </w:r>
    </w:p>
    <w:p w14:paraId="4700F85B" w14:textId="77777777" w:rsidR="005E4706" w:rsidRDefault="005E4706" w:rsidP="00FC2412">
      <w:pPr>
        <w:pStyle w:val="ListParagraph"/>
        <w:jc w:val="both"/>
      </w:pPr>
    </w:p>
    <w:p w14:paraId="0B44938D" w14:textId="1DA50E6D" w:rsidR="0021777C" w:rsidRDefault="00560CCD" w:rsidP="00FC2412">
      <w:pPr>
        <w:ind w:left="360"/>
        <w:jc w:val="both"/>
      </w:pPr>
      <w:r w:rsidRPr="00191901">
        <w:t>For the 20</w:t>
      </w:r>
      <w:r w:rsidR="0021777C" w:rsidRPr="00191901">
        <w:t>16</w:t>
      </w:r>
      <w:r w:rsidRPr="00191901">
        <w:t>/17</w:t>
      </w:r>
      <w:r w:rsidR="0021777C" w:rsidRPr="00191901">
        <w:t xml:space="preserve"> savings built into the MTFS,</w:t>
      </w:r>
      <w:r w:rsidR="005E4706" w:rsidRPr="00191901">
        <w:t xml:space="preserve"> the overall position is that 3</w:t>
      </w:r>
      <w:r w:rsidR="00C71B6A" w:rsidRPr="00191901">
        <w:t>6</w:t>
      </w:r>
      <w:r w:rsidR="0021777C" w:rsidRPr="00191901">
        <w:t>% of the savings are RAG rated as blue (achieved and</w:t>
      </w:r>
      <w:r w:rsidR="005E4706" w:rsidRPr="00191901">
        <w:t xml:space="preserve"> banked),  1</w:t>
      </w:r>
      <w:r w:rsidR="00F277FB" w:rsidRPr="00191901">
        <w:t>8</w:t>
      </w:r>
      <w:r w:rsidR="0021777C" w:rsidRPr="00191901">
        <w:t>% green (ach</w:t>
      </w:r>
      <w:r w:rsidR="00191901" w:rsidRPr="00191901">
        <w:t>ievement of saving on track), 33</w:t>
      </w:r>
      <w:r w:rsidR="0021777C" w:rsidRPr="00191901">
        <w:t>% amber (saving only partially ach</w:t>
      </w:r>
      <w:r w:rsidR="00F277FB" w:rsidRPr="00191901">
        <w:t xml:space="preserve">ieved or risks remaining)  and </w:t>
      </w:r>
      <w:r w:rsidR="00191901" w:rsidRPr="00191901">
        <w:t>13</w:t>
      </w:r>
      <w:r w:rsidR="0021777C" w:rsidRPr="00191901">
        <w:t>% red (agreed saving not achievable).</w:t>
      </w:r>
    </w:p>
    <w:p w14:paraId="60DD4F8D" w14:textId="77777777" w:rsidR="005E4706" w:rsidRDefault="005E4706" w:rsidP="00FC2412">
      <w:pPr>
        <w:jc w:val="both"/>
      </w:pPr>
    </w:p>
    <w:p w14:paraId="10454A81" w14:textId="21A27627" w:rsidR="00741AEB" w:rsidRPr="006B1DE1" w:rsidRDefault="009E708C" w:rsidP="00741AEB">
      <w:pPr>
        <w:rPr>
          <w:b/>
          <w:sz w:val="28"/>
          <w:szCs w:val="28"/>
        </w:rPr>
      </w:pPr>
      <w:r>
        <w:rPr>
          <w:b/>
          <w:sz w:val="28"/>
          <w:szCs w:val="28"/>
        </w:rPr>
        <w:t>8</w:t>
      </w:r>
      <w:r w:rsidR="00D73C5B">
        <w:rPr>
          <w:b/>
          <w:sz w:val="28"/>
          <w:szCs w:val="28"/>
        </w:rPr>
        <w:t>.</w:t>
      </w:r>
      <w:r w:rsidR="00AA383D">
        <w:rPr>
          <w:b/>
          <w:sz w:val="28"/>
          <w:szCs w:val="28"/>
        </w:rPr>
        <w:t xml:space="preserve"> </w:t>
      </w:r>
      <w:r w:rsidR="00741AEB" w:rsidRPr="006B1DE1">
        <w:rPr>
          <w:b/>
          <w:sz w:val="28"/>
          <w:szCs w:val="28"/>
        </w:rPr>
        <w:t>Risk Management Implications</w:t>
      </w:r>
    </w:p>
    <w:p w14:paraId="4D47F0C9" w14:textId="77777777" w:rsidR="00741AEB" w:rsidRDefault="00741AEB" w:rsidP="009E22B0">
      <w:pPr>
        <w:spacing w:after="240"/>
        <w:ind w:left="360"/>
      </w:pPr>
      <w:r w:rsidRPr="00374CD9">
        <w:t>The risks to the Council and how they are being managed are set out in the report.</w:t>
      </w:r>
    </w:p>
    <w:p w14:paraId="5BED1DA8" w14:textId="77777777" w:rsidR="005378F7" w:rsidRDefault="005378F7" w:rsidP="009E22B0">
      <w:pPr>
        <w:spacing w:after="240"/>
        <w:ind w:left="360"/>
      </w:pPr>
      <w:r w:rsidRPr="005378F7">
        <w:t>Risks are included on the Directorate risk registers</w:t>
      </w:r>
    </w:p>
    <w:p w14:paraId="329794F7" w14:textId="77777777" w:rsidR="009464CF" w:rsidRDefault="009464CF" w:rsidP="005378F7">
      <w:pPr>
        <w:keepNext/>
        <w:ind w:left="360" w:hanging="360"/>
        <w:jc w:val="both"/>
        <w:rPr>
          <w:b/>
          <w:sz w:val="28"/>
          <w:szCs w:val="28"/>
        </w:rPr>
      </w:pPr>
    </w:p>
    <w:p w14:paraId="7F0F91CA" w14:textId="0B3D2C5E" w:rsidR="00741AEB" w:rsidRPr="006B1DE1" w:rsidRDefault="008210B6" w:rsidP="00D73C5B">
      <w:pPr>
        <w:pStyle w:val="ListParagraph"/>
        <w:keepNext/>
        <w:spacing w:after="240"/>
        <w:ind w:left="0"/>
        <w:rPr>
          <w:b/>
          <w:sz w:val="28"/>
          <w:szCs w:val="28"/>
        </w:rPr>
      </w:pPr>
      <w:r>
        <w:rPr>
          <w:b/>
          <w:sz w:val="28"/>
          <w:szCs w:val="28"/>
        </w:rPr>
        <w:t>9</w:t>
      </w:r>
      <w:r w:rsidR="00AA383D">
        <w:rPr>
          <w:b/>
          <w:sz w:val="28"/>
          <w:szCs w:val="28"/>
        </w:rPr>
        <w:t xml:space="preserve">. </w:t>
      </w:r>
      <w:r w:rsidR="00741AEB" w:rsidRPr="006B1DE1">
        <w:rPr>
          <w:b/>
          <w:sz w:val="28"/>
          <w:szCs w:val="28"/>
        </w:rPr>
        <w:t>Council Priorities</w:t>
      </w:r>
    </w:p>
    <w:p w14:paraId="1358F9DB" w14:textId="77777777" w:rsidR="00741AEB" w:rsidRPr="006B1DE1" w:rsidRDefault="00741AEB" w:rsidP="009E22B0">
      <w:pPr>
        <w:spacing w:after="240"/>
        <w:ind w:left="360"/>
        <w:rPr>
          <w:b/>
          <w:sz w:val="28"/>
          <w:szCs w:val="28"/>
        </w:rPr>
      </w:pPr>
      <w:r w:rsidRPr="00677491">
        <w:t>The</w:t>
      </w:r>
      <w:r w:rsidRPr="006B1DE1">
        <w:rPr>
          <w:rFonts w:cs="Arial"/>
          <w:szCs w:val="24"/>
        </w:rPr>
        <w:t xml:space="preserve"> </w:t>
      </w:r>
      <w:r w:rsidRPr="00A969AA">
        <w:t>Council’s</w:t>
      </w:r>
      <w:r w:rsidRPr="006B1DE1">
        <w:rPr>
          <w:rFonts w:cs="Arial"/>
          <w:szCs w:val="24"/>
        </w:rPr>
        <w:t xml:space="preserve"> vision is:</w:t>
      </w:r>
      <w:r w:rsidRPr="006B1DE1">
        <w:rPr>
          <w:rFonts w:cs="Arial"/>
          <w:szCs w:val="24"/>
        </w:rPr>
        <w:tab/>
      </w:r>
    </w:p>
    <w:p w14:paraId="5776099E" w14:textId="77777777" w:rsidR="00741AEB" w:rsidRPr="006B1DE1" w:rsidRDefault="00741AEB" w:rsidP="00741AEB">
      <w:pPr>
        <w:rPr>
          <w:rFonts w:cs="Arial"/>
          <w:szCs w:val="24"/>
        </w:rPr>
      </w:pPr>
    </w:p>
    <w:p w14:paraId="665BE20A" w14:textId="77777777" w:rsidR="00741AEB" w:rsidRPr="006B1DE1" w:rsidRDefault="00741AEB" w:rsidP="00741AEB">
      <w:pPr>
        <w:rPr>
          <w:rFonts w:cs="Arial"/>
          <w:szCs w:val="24"/>
        </w:rPr>
      </w:pPr>
      <w:r w:rsidRPr="006B1DE1">
        <w:rPr>
          <w:rFonts w:cs="Arial"/>
          <w:b/>
          <w:szCs w:val="24"/>
        </w:rPr>
        <w:t>Working Together to Make a Difference for Harrow</w:t>
      </w:r>
      <w:r w:rsidRPr="006B1DE1">
        <w:rPr>
          <w:rFonts w:cs="Arial"/>
          <w:szCs w:val="24"/>
        </w:rPr>
        <w:t xml:space="preserve"> </w:t>
      </w:r>
    </w:p>
    <w:p w14:paraId="6DFB8C32" w14:textId="77777777" w:rsidR="00741AEB" w:rsidRPr="006B1DE1" w:rsidRDefault="00741AEB" w:rsidP="00741AEB">
      <w:pPr>
        <w:rPr>
          <w:rFonts w:cs="Arial"/>
          <w:szCs w:val="24"/>
        </w:rPr>
      </w:pPr>
    </w:p>
    <w:p w14:paraId="663E4FF3" w14:textId="77777777" w:rsidR="00741AEB" w:rsidRPr="006B1DE1" w:rsidRDefault="00741AEB" w:rsidP="009E22B0">
      <w:pPr>
        <w:spacing w:after="240"/>
        <w:ind w:left="360"/>
        <w:rPr>
          <w:rFonts w:cs="Arial"/>
          <w:szCs w:val="24"/>
        </w:rPr>
      </w:pPr>
      <w:r w:rsidRPr="006B1DE1">
        <w:rPr>
          <w:rFonts w:cs="Arial"/>
          <w:szCs w:val="24"/>
        </w:rPr>
        <w:t xml:space="preserve">The </w:t>
      </w:r>
      <w:r w:rsidRPr="0031658B">
        <w:rPr>
          <w:rFonts w:cs="Arial"/>
          <w:szCs w:val="24"/>
        </w:rPr>
        <w:t>Council’s</w:t>
      </w:r>
      <w:r w:rsidRPr="006B1DE1">
        <w:rPr>
          <w:rFonts w:cs="Arial"/>
          <w:szCs w:val="24"/>
        </w:rPr>
        <w:t xml:space="preserve"> priorities are:</w:t>
      </w:r>
    </w:p>
    <w:p w14:paraId="7F8E0BCB" w14:textId="77777777" w:rsidR="00741AEB" w:rsidRPr="006B1DE1" w:rsidRDefault="00741AEB" w:rsidP="00741AEB">
      <w:pPr>
        <w:jc w:val="both"/>
      </w:pPr>
    </w:p>
    <w:p w14:paraId="076767E1" w14:textId="77777777" w:rsidR="00741AEB" w:rsidRPr="006B1DE1" w:rsidRDefault="00741AEB" w:rsidP="00741AEB">
      <w:pPr>
        <w:tabs>
          <w:tab w:val="left" w:pos="748"/>
        </w:tabs>
        <w:ind w:left="1058" w:hanging="349"/>
        <w:jc w:val="both"/>
        <w:rPr>
          <w:rFonts w:cs="Arial"/>
          <w:szCs w:val="24"/>
        </w:rPr>
      </w:pPr>
      <w:r w:rsidRPr="006B1DE1">
        <w:rPr>
          <w:rFonts w:cs="Arial"/>
          <w:szCs w:val="24"/>
        </w:rPr>
        <w:t>Making a difference for the vulnerable</w:t>
      </w:r>
    </w:p>
    <w:p w14:paraId="2508E341" w14:textId="77777777"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communities</w:t>
      </w:r>
    </w:p>
    <w:p w14:paraId="6102F726" w14:textId="77777777"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local businesses</w:t>
      </w:r>
    </w:p>
    <w:p w14:paraId="49D05208" w14:textId="4E94EE63" w:rsidR="00741AEB" w:rsidRPr="006B1DE1" w:rsidRDefault="00741AEB" w:rsidP="00741AEB">
      <w:pPr>
        <w:tabs>
          <w:tab w:val="left" w:pos="748"/>
        </w:tabs>
        <w:suppressAutoHyphens/>
        <w:spacing w:after="240"/>
        <w:ind w:left="1058" w:hanging="349"/>
        <w:jc w:val="both"/>
        <w:rPr>
          <w:rFonts w:cs="Arial"/>
          <w:szCs w:val="24"/>
        </w:rPr>
      </w:pPr>
      <w:r w:rsidRPr="006B1DE1">
        <w:rPr>
          <w:rFonts w:cs="Arial"/>
          <w:szCs w:val="24"/>
        </w:rPr>
        <w:t>Making a difference for families</w:t>
      </w:r>
      <w:r w:rsidR="00321F56">
        <w:rPr>
          <w:rFonts w:cs="Arial"/>
          <w:szCs w:val="24"/>
        </w:rPr>
        <w:t>.</w:t>
      </w:r>
    </w:p>
    <w:p w14:paraId="57E7E5F4" w14:textId="77777777" w:rsidR="00741AEB" w:rsidRPr="006B1DE1" w:rsidRDefault="00741AEB" w:rsidP="009E22B0">
      <w:pPr>
        <w:spacing w:after="240"/>
        <w:ind w:left="360"/>
      </w:pPr>
      <w:r w:rsidRPr="006B1DE1">
        <w:t xml:space="preserve">This </w:t>
      </w:r>
      <w:r w:rsidRPr="0031658B">
        <w:rPr>
          <w:rFonts w:cs="Arial"/>
          <w:szCs w:val="24"/>
        </w:rPr>
        <w:t>report</w:t>
      </w:r>
      <w:r w:rsidRPr="006B1DE1">
        <w:t xml:space="preserve"> deals with Revenue and Capital monitoring which is key to delivering the infrastructure to deliver the Council’s priorities.</w:t>
      </w:r>
    </w:p>
    <w:p w14:paraId="766DB4CD" w14:textId="77777777" w:rsidR="00741AEB" w:rsidRDefault="00741AEB" w:rsidP="00741AEB"/>
    <w:p w14:paraId="0CEC418A" w14:textId="77777777" w:rsidR="00790694" w:rsidRDefault="00790694" w:rsidP="00741AEB"/>
    <w:p w14:paraId="09F7AA51" w14:textId="77777777" w:rsidR="00741AEB" w:rsidRPr="006B1DE1" w:rsidRDefault="00741AEB" w:rsidP="00741AEB">
      <w:pPr>
        <w:pStyle w:val="Heading1"/>
        <w:keepNext/>
      </w:pPr>
      <w:r w:rsidRPr="006B1DE1">
        <w:t>Section 3 - Statutory Officer Clearance</w:t>
      </w:r>
    </w:p>
    <w:p w14:paraId="7D4DA590" w14:textId="77777777" w:rsidR="00741AEB" w:rsidRPr="006B1DE1" w:rsidRDefault="00741AEB" w:rsidP="00741AEB">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411"/>
        <w:gridCol w:w="222"/>
        <w:gridCol w:w="3836"/>
      </w:tblGrid>
      <w:tr w:rsidR="00741AEB" w:rsidRPr="006B1DE1" w14:paraId="3C143FB1" w14:textId="77777777" w:rsidTr="00741AEB">
        <w:tc>
          <w:tcPr>
            <w:tcW w:w="2320" w:type="pct"/>
            <w:tcBorders>
              <w:bottom w:val="nil"/>
              <w:right w:val="nil"/>
            </w:tcBorders>
          </w:tcPr>
          <w:p w14:paraId="26D57D3D" w14:textId="77777777" w:rsidR="00741AEB" w:rsidRPr="006B1DE1" w:rsidRDefault="00741AEB" w:rsidP="00741AEB">
            <w:pPr>
              <w:pStyle w:val="Infotext"/>
            </w:pPr>
          </w:p>
          <w:p w14:paraId="673248E0" w14:textId="77777777" w:rsidR="00741AEB" w:rsidRPr="006B1DE1" w:rsidRDefault="00741AEB" w:rsidP="00741AEB">
            <w:pPr>
              <w:pStyle w:val="Infotext"/>
            </w:pPr>
          </w:p>
        </w:tc>
        <w:tc>
          <w:tcPr>
            <w:tcW w:w="246" w:type="pct"/>
            <w:tcBorders>
              <w:left w:val="nil"/>
              <w:right w:val="nil"/>
            </w:tcBorders>
          </w:tcPr>
          <w:p w14:paraId="0F22B0AA" w14:textId="77777777" w:rsidR="00741AEB" w:rsidRPr="006B1DE1" w:rsidRDefault="00741AEB" w:rsidP="00741AEB">
            <w:pPr>
              <w:pStyle w:val="Infotext"/>
            </w:pPr>
          </w:p>
        </w:tc>
        <w:tc>
          <w:tcPr>
            <w:tcW w:w="133" w:type="pct"/>
            <w:tcBorders>
              <w:left w:val="nil"/>
              <w:bottom w:val="nil"/>
              <w:right w:val="nil"/>
            </w:tcBorders>
          </w:tcPr>
          <w:p w14:paraId="40E023D4" w14:textId="77777777" w:rsidR="00741AEB" w:rsidRPr="006B1DE1" w:rsidRDefault="00741AEB" w:rsidP="00741AEB">
            <w:pPr>
              <w:pStyle w:val="Infotext"/>
            </w:pPr>
          </w:p>
        </w:tc>
        <w:tc>
          <w:tcPr>
            <w:tcW w:w="2300" w:type="pct"/>
            <w:tcBorders>
              <w:left w:val="nil"/>
              <w:bottom w:val="nil"/>
            </w:tcBorders>
          </w:tcPr>
          <w:p w14:paraId="71CB4D16" w14:textId="77777777" w:rsidR="00741AEB" w:rsidRPr="006B1DE1" w:rsidRDefault="00741AEB" w:rsidP="00741AEB">
            <w:pPr>
              <w:pStyle w:val="Infotext"/>
            </w:pPr>
          </w:p>
          <w:p w14:paraId="1F59335D" w14:textId="77777777" w:rsidR="00741AEB" w:rsidRPr="006B1DE1" w:rsidRDefault="00741AEB" w:rsidP="00741AEB">
            <w:pPr>
              <w:pStyle w:val="Infotext"/>
            </w:pPr>
          </w:p>
        </w:tc>
      </w:tr>
      <w:tr w:rsidR="00741AEB" w:rsidRPr="006B1DE1" w14:paraId="5822521C" w14:textId="77777777" w:rsidTr="00741AEB">
        <w:tc>
          <w:tcPr>
            <w:tcW w:w="2320" w:type="pct"/>
            <w:tcBorders>
              <w:top w:val="nil"/>
              <w:bottom w:val="nil"/>
            </w:tcBorders>
          </w:tcPr>
          <w:p w14:paraId="6FDC3906" w14:textId="77777777" w:rsidR="00741AEB" w:rsidRPr="006B1DE1" w:rsidRDefault="00741AEB" w:rsidP="00741AEB">
            <w:pPr>
              <w:pStyle w:val="Infotext"/>
            </w:pPr>
            <w:r w:rsidRPr="006B1DE1">
              <w:t>Name: Dawn Calvert</w:t>
            </w:r>
          </w:p>
        </w:tc>
        <w:tc>
          <w:tcPr>
            <w:tcW w:w="246" w:type="pct"/>
            <w:tcBorders>
              <w:bottom w:val="single" w:sz="4" w:space="0" w:color="auto"/>
            </w:tcBorders>
          </w:tcPr>
          <w:p w14:paraId="6E847F35" w14:textId="45149B95" w:rsidR="00741AEB" w:rsidRPr="006B1DE1" w:rsidRDefault="00EE7E41" w:rsidP="00741AEB">
            <w:pPr>
              <w:pStyle w:val="Infotext"/>
            </w:pPr>
            <w:r>
              <w:t>x</w:t>
            </w:r>
          </w:p>
        </w:tc>
        <w:tc>
          <w:tcPr>
            <w:tcW w:w="133" w:type="pct"/>
            <w:tcBorders>
              <w:top w:val="nil"/>
              <w:bottom w:val="nil"/>
              <w:right w:val="nil"/>
            </w:tcBorders>
          </w:tcPr>
          <w:p w14:paraId="6C1100F9" w14:textId="77777777" w:rsidR="00741AEB" w:rsidRPr="006B1DE1" w:rsidRDefault="00741AEB" w:rsidP="00741AEB">
            <w:pPr>
              <w:pStyle w:val="Infotext"/>
            </w:pPr>
          </w:p>
        </w:tc>
        <w:tc>
          <w:tcPr>
            <w:tcW w:w="2300" w:type="pct"/>
            <w:tcBorders>
              <w:top w:val="nil"/>
              <w:left w:val="nil"/>
              <w:bottom w:val="nil"/>
            </w:tcBorders>
          </w:tcPr>
          <w:p w14:paraId="635F3FE0" w14:textId="77777777" w:rsidR="00741AEB" w:rsidRPr="006B1DE1" w:rsidRDefault="00741AEB" w:rsidP="00741AEB">
            <w:pPr>
              <w:pStyle w:val="Infotext"/>
            </w:pPr>
            <w:r w:rsidRPr="006B1DE1">
              <w:t>Chief Financial Officer</w:t>
            </w:r>
          </w:p>
        </w:tc>
      </w:tr>
      <w:tr w:rsidR="00741AEB" w:rsidRPr="006B1DE1" w14:paraId="1D8363A7" w14:textId="77777777" w:rsidTr="00741AEB">
        <w:tc>
          <w:tcPr>
            <w:tcW w:w="2320" w:type="pct"/>
            <w:tcBorders>
              <w:top w:val="nil"/>
              <w:right w:val="nil"/>
            </w:tcBorders>
          </w:tcPr>
          <w:p w14:paraId="37B4DEEE" w14:textId="77777777" w:rsidR="00741AEB" w:rsidRPr="006B1DE1" w:rsidRDefault="00741AEB" w:rsidP="00741AEB">
            <w:pPr>
              <w:pStyle w:val="Infotext"/>
            </w:pPr>
            <w:r w:rsidRPr="006B1DE1">
              <w:t xml:space="preserve"> </w:t>
            </w:r>
          </w:p>
          <w:p w14:paraId="30D91360" w14:textId="4785FC3B" w:rsidR="00741AEB" w:rsidRPr="006B1DE1" w:rsidRDefault="00741AEB" w:rsidP="00321F56">
            <w:pPr>
              <w:pStyle w:val="Infotext"/>
            </w:pPr>
            <w:r w:rsidRPr="006B1DE1">
              <w:t xml:space="preserve">Date: </w:t>
            </w:r>
            <w:r w:rsidR="00530E7B">
              <w:t xml:space="preserve"> </w:t>
            </w:r>
            <w:r w:rsidR="00EE7E41">
              <w:t>17 January 2017</w:t>
            </w:r>
          </w:p>
        </w:tc>
        <w:tc>
          <w:tcPr>
            <w:tcW w:w="246" w:type="pct"/>
            <w:tcBorders>
              <w:left w:val="nil"/>
              <w:bottom w:val="single" w:sz="4" w:space="0" w:color="auto"/>
              <w:right w:val="nil"/>
            </w:tcBorders>
          </w:tcPr>
          <w:p w14:paraId="12C90539" w14:textId="77777777" w:rsidR="00741AEB" w:rsidRPr="006B1DE1" w:rsidRDefault="00741AEB" w:rsidP="00741AEB">
            <w:pPr>
              <w:pStyle w:val="Infotext"/>
            </w:pPr>
          </w:p>
        </w:tc>
        <w:tc>
          <w:tcPr>
            <w:tcW w:w="133" w:type="pct"/>
            <w:tcBorders>
              <w:top w:val="nil"/>
              <w:left w:val="nil"/>
              <w:right w:val="nil"/>
            </w:tcBorders>
          </w:tcPr>
          <w:p w14:paraId="44DA09CA" w14:textId="77777777" w:rsidR="00741AEB" w:rsidRPr="006B1DE1" w:rsidRDefault="00741AEB" w:rsidP="00741AEB">
            <w:pPr>
              <w:pStyle w:val="Infotext"/>
            </w:pPr>
          </w:p>
        </w:tc>
        <w:tc>
          <w:tcPr>
            <w:tcW w:w="2300" w:type="pct"/>
            <w:tcBorders>
              <w:top w:val="nil"/>
              <w:left w:val="nil"/>
            </w:tcBorders>
          </w:tcPr>
          <w:p w14:paraId="7BB6590E" w14:textId="77777777" w:rsidR="00741AEB" w:rsidRPr="006B1DE1" w:rsidRDefault="00741AEB" w:rsidP="00741AEB">
            <w:pPr>
              <w:pStyle w:val="Infotext"/>
            </w:pPr>
          </w:p>
        </w:tc>
      </w:tr>
      <w:tr w:rsidR="00741AEB" w:rsidRPr="006B1DE1" w14:paraId="2C23E48D" w14:textId="77777777" w:rsidTr="00741AEB">
        <w:tc>
          <w:tcPr>
            <w:tcW w:w="2320" w:type="pct"/>
            <w:tcBorders>
              <w:bottom w:val="nil"/>
              <w:right w:val="nil"/>
            </w:tcBorders>
          </w:tcPr>
          <w:p w14:paraId="5492B0FE" w14:textId="77777777" w:rsidR="00741AEB" w:rsidRPr="006B1DE1" w:rsidRDefault="00741AEB" w:rsidP="00741AEB">
            <w:pPr>
              <w:pStyle w:val="Infotext"/>
            </w:pPr>
          </w:p>
          <w:p w14:paraId="1A9CEA60" w14:textId="77777777" w:rsidR="00741AEB" w:rsidRPr="006B1DE1" w:rsidRDefault="00741AEB" w:rsidP="00741AEB">
            <w:pPr>
              <w:pStyle w:val="Infotext"/>
            </w:pPr>
          </w:p>
        </w:tc>
        <w:tc>
          <w:tcPr>
            <w:tcW w:w="246" w:type="pct"/>
            <w:tcBorders>
              <w:left w:val="nil"/>
              <w:right w:val="nil"/>
            </w:tcBorders>
          </w:tcPr>
          <w:p w14:paraId="10D82026" w14:textId="77777777" w:rsidR="00741AEB" w:rsidRPr="006B1DE1" w:rsidRDefault="00741AEB" w:rsidP="00741AEB">
            <w:pPr>
              <w:pStyle w:val="Infotext"/>
            </w:pPr>
          </w:p>
        </w:tc>
        <w:tc>
          <w:tcPr>
            <w:tcW w:w="133" w:type="pct"/>
            <w:tcBorders>
              <w:left w:val="nil"/>
              <w:bottom w:val="nil"/>
              <w:right w:val="nil"/>
            </w:tcBorders>
          </w:tcPr>
          <w:p w14:paraId="4E55F8EB" w14:textId="77777777" w:rsidR="00741AEB" w:rsidRPr="006B1DE1" w:rsidRDefault="00741AEB" w:rsidP="00741AEB">
            <w:pPr>
              <w:pStyle w:val="Infotext"/>
            </w:pPr>
          </w:p>
        </w:tc>
        <w:tc>
          <w:tcPr>
            <w:tcW w:w="2300" w:type="pct"/>
            <w:tcBorders>
              <w:left w:val="nil"/>
              <w:bottom w:val="nil"/>
            </w:tcBorders>
          </w:tcPr>
          <w:p w14:paraId="533B222A" w14:textId="77777777" w:rsidR="00741AEB" w:rsidRPr="006B1DE1" w:rsidRDefault="00741AEB" w:rsidP="00741AEB">
            <w:pPr>
              <w:pStyle w:val="Infotext"/>
            </w:pPr>
          </w:p>
          <w:p w14:paraId="1E9A9A73" w14:textId="77777777" w:rsidR="00741AEB" w:rsidRPr="006B1DE1" w:rsidRDefault="00741AEB" w:rsidP="00741AEB">
            <w:pPr>
              <w:pStyle w:val="Infotext"/>
            </w:pPr>
            <w:r w:rsidRPr="006B1DE1">
              <w:t>on behalf of the</w:t>
            </w:r>
          </w:p>
        </w:tc>
      </w:tr>
      <w:tr w:rsidR="00741AEB" w:rsidRPr="006B1DE1" w14:paraId="0F0723F5" w14:textId="77777777" w:rsidTr="00741AEB">
        <w:tc>
          <w:tcPr>
            <w:tcW w:w="2320" w:type="pct"/>
            <w:tcBorders>
              <w:top w:val="nil"/>
              <w:bottom w:val="nil"/>
            </w:tcBorders>
          </w:tcPr>
          <w:p w14:paraId="7803C697" w14:textId="756B5301" w:rsidR="00741AEB" w:rsidRPr="006B1DE1" w:rsidRDefault="00741AEB" w:rsidP="00CE1C9A">
            <w:pPr>
              <w:pStyle w:val="Infotext"/>
            </w:pPr>
            <w:r w:rsidRPr="006B1DE1">
              <w:t xml:space="preserve">Name: </w:t>
            </w:r>
            <w:r w:rsidR="00516F96">
              <w:t>Jessica Farmer</w:t>
            </w:r>
          </w:p>
        </w:tc>
        <w:tc>
          <w:tcPr>
            <w:tcW w:w="246" w:type="pct"/>
            <w:tcBorders>
              <w:bottom w:val="single" w:sz="4" w:space="0" w:color="auto"/>
            </w:tcBorders>
          </w:tcPr>
          <w:p w14:paraId="43E69919" w14:textId="3A28722E" w:rsidR="00741AEB" w:rsidRPr="006B1DE1" w:rsidRDefault="00EE7E41" w:rsidP="00741AEB">
            <w:pPr>
              <w:pStyle w:val="Infotext"/>
            </w:pPr>
            <w:r>
              <w:t>x</w:t>
            </w:r>
          </w:p>
        </w:tc>
        <w:tc>
          <w:tcPr>
            <w:tcW w:w="133" w:type="pct"/>
            <w:tcBorders>
              <w:top w:val="nil"/>
              <w:bottom w:val="nil"/>
              <w:right w:val="nil"/>
            </w:tcBorders>
          </w:tcPr>
          <w:p w14:paraId="008C32DF" w14:textId="77777777" w:rsidR="00741AEB" w:rsidRPr="006B1DE1" w:rsidRDefault="00741AEB" w:rsidP="00741AEB">
            <w:pPr>
              <w:pStyle w:val="Infotext"/>
            </w:pPr>
          </w:p>
        </w:tc>
        <w:tc>
          <w:tcPr>
            <w:tcW w:w="2300" w:type="pct"/>
            <w:tcBorders>
              <w:top w:val="nil"/>
              <w:left w:val="nil"/>
              <w:bottom w:val="nil"/>
            </w:tcBorders>
          </w:tcPr>
          <w:p w14:paraId="1D883FE0" w14:textId="77777777" w:rsidR="00741AEB" w:rsidRPr="006B1DE1" w:rsidRDefault="00741AEB" w:rsidP="00741AEB">
            <w:pPr>
              <w:pStyle w:val="Infotext"/>
            </w:pPr>
            <w:r w:rsidRPr="006B1DE1">
              <w:t>Monitoring Officer</w:t>
            </w:r>
          </w:p>
        </w:tc>
      </w:tr>
      <w:tr w:rsidR="00741AEB" w:rsidRPr="006B1DE1" w14:paraId="66B81294" w14:textId="77777777" w:rsidTr="00741AEB">
        <w:tc>
          <w:tcPr>
            <w:tcW w:w="2320" w:type="pct"/>
            <w:tcBorders>
              <w:top w:val="nil"/>
              <w:right w:val="nil"/>
            </w:tcBorders>
          </w:tcPr>
          <w:p w14:paraId="1FFB3A19" w14:textId="77777777" w:rsidR="00741AEB" w:rsidRPr="006B1DE1" w:rsidRDefault="00741AEB" w:rsidP="00741AEB">
            <w:pPr>
              <w:pStyle w:val="Infotext"/>
            </w:pPr>
          </w:p>
          <w:p w14:paraId="03F082E0" w14:textId="441B39F8" w:rsidR="00741AEB" w:rsidRPr="006B1DE1" w:rsidRDefault="00741AEB" w:rsidP="00321F56">
            <w:pPr>
              <w:pStyle w:val="Infotext"/>
            </w:pPr>
            <w:r w:rsidRPr="006B1DE1">
              <w:t xml:space="preserve">Date: </w:t>
            </w:r>
            <w:r w:rsidR="00B073A3">
              <w:t>7 February 2017</w:t>
            </w:r>
          </w:p>
        </w:tc>
        <w:tc>
          <w:tcPr>
            <w:tcW w:w="246" w:type="pct"/>
            <w:tcBorders>
              <w:left w:val="nil"/>
              <w:right w:val="nil"/>
            </w:tcBorders>
          </w:tcPr>
          <w:p w14:paraId="3CD98688" w14:textId="77777777" w:rsidR="00741AEB" w:rsidRPr="006B1DE1" w:rsidRDefault="00741AEB" w:rsidP="00741AEB">
            <w:pPr>
              <w:pStyle w:val="Infotext"/>
            </w:pPr>
          </w:p>
        </w:tc>
        <w:tc>
          <w:tcPr>
            <w:tcW w:w="133" w:type="pct"/>
            <w:tcBorders>
              <w:top w:val="nil"/>
              <w:left w:val="nil"/>
              <w:right w:val="nil"/>
            </w:tcBorders>
          </w:tcPr>
          <w:p w14:paraId="000AE59E" w14:textId="77777777" w:rsidR="00741AEB" w:rsidRPr="006B1DE1" w:rsidRDefault="00741AEB" w:rsidP="00741AEB">
            <w:pPr>
              <w:pStyle w:val="Infotext"/>
            </w:pPr>
          </w:p>
        </w:tc>
        <w:tc>
          <w:tcPr>
            <w:tcW w:w="2300" w:type="pct"/>
            <w:tcBorders>
              <w:top w:val="nil"/>
              <w:left w:val="nil"/>
            </w:tcBorders>
          </w:tcPr>
          <w:p w14:paraId="3D177DDE" w14:textId="77777777" w:rsidR="00741AEB" w:rsidRPr="006B1DE1" w:rsidRDefault="00741AEB" w:rsidP="00741AEB">
            <w:pPr>
              <w:pStyle w:val="Infotext"/>
            </w:pPr>
          </w:p>
          <w:p w14:paraId="49449294" w14:textId="77777777" w:rsidR="00741AEB" w:rsidRPr="006B1DE1" w:rsidRDefault="00741AEB" w:rsidP="00741AEB">
            <w:pPr>
              <w:pStyle w:val="Infotext"/>
            </w:pPr>
          </w:p>
        </w:tc>
      </w:tr>
    </w:tbl>
    <w:p w14:paraId="3EAD974D" w14:textId="77777777" w:rsidR="00741AEB" w:rsidRPr="006B1DE1" w:rsidRDefault="00741AEB" w:rsidP="00741A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3294"/>
      </w:tblGrid>
      <w:tr w:rsidR="00741AEB" w:rsidRPr="006B1DE1" w14:paraId="6B85578A" w14:textId="77777777" w:rsidTr="00741AEB">
        <w:trPr>
          <w:trHeight w:val="965"/>
        </w:trPr>
        <w:tc>
          <w:tcPr>
            <w:tcW w:w="3025" w:type="pct"/>
            <w:tcBorders>
              <w:right w:val="nil"/>
            </w:tcBorders>
          </w:tcPr>
          <w:p w14:paraId="24922F27" w14:textId="77777777" w:rsidR="00741AEB" w:rsidRPr="006B1DE1" w:rsidRDefault="00741AEB" w:rsidP="00741AEB">
            <w:pPr>
              <w:pStyle w:val="Infotext"/>
              <w:rPr>
                <w:rFonts w:ascii="Arial Black" w:hAnsi="Arial Black"/>
              </w:rPr>
            </w:pPr>
          </w:p>
          <w:p w14:paraId="1727BE44" w14:textId="77777777" w:rsidR="00741AEB" w:rsidRPr="006B1DE1" w:rsidRDefault="00741AEB" w:rsidP="00741AEB">
            <w:pPr>
              <w:pStyle w:val="Infotext"/>
              <w:rPr>
                <w:rFonts w:ascii="Arial Black" w:hAnsi="Arial Black"/>
              </w:rPr>
            </w:pPr>
            <w:r w:rsidRPr="006B1DE1">
              <w:rPr>
                <w:rFonts w:ascii="Arial Black" w:hAnsi="Arial Black"/>
              </w:rPr>
              <w:t>Ward Councillors notified:</w:t>
            </w:r>
          </w:p>
          <w:p w14:paraId="6ABAFB09" w14:textId="77777777" w:rsidR="00741AEB" w:rsidRPr="006B1DE1" w:rsidRDefault="00741AEB" w:rsidP="00741AEB">
            <w:pPr>
              <w:pStyle w:val="Infotext"/>
              <w:rPr>
                <w:color w:val="FF0000"/>
              </w:rPr>
            </w:pPr>
          </w:p>
        </w:tc>
        <w:tc>
          <w:tcPr>
            <w:tcW w:w="1975" w:type="pct"/>
            <w:tcBorders>
              <w:left w:val="nil"/>
            </w:tcBorders>
          </w:tcPr>
          <w:p w14:paraId="223D7B49" w14:textId="77777777" w:rsidR="00741AEB" w:rsidRPr="006B1DE1" w:rsidRDefault="00741AEB" w:rsidP="00741AEB">
            <w:pPr>
              <w:pStyle w:val="Infotext"/>
            </w:pPr>
          </w:p>
          <w:p w14:paraId="2BAF7264" w14:textId="77777777" w:rsidR="00741AEB" w:rsidRPr="006B1DE1" w:rsidRDefault="00741AEB" w:rsidP="00741AEB">
            <w:pPr>
              <w:pStyle w:val="Infotext"/>
              <w:spacing w:before="120"/>
              <w:rPr>
                <w:b/>
              </w:rPr>
            </w:pPr>
            <w:r w:rsidRPr="006B1DE1">
              <w:rPr>
                <w:b/>
              </w:rPr>
              <w:t xml:space="preserve">NO, as it impacts on all Wards </w:t>
            </w:r>
          </w:p>
          <w:p w14:paraId="04C43C20" w14:textId="77777777" w:rsidR="00741AEB" w:rsidRPr="006B1DE1" w:rsidRDefault="00741AEB" w:rsidP="00741AEB">
            <w:pPr>
              <w:pStyle w:val="Infotext"/>
              <w:rPr>
                <w:i/>
                <w:sz w:val="24"/>
                <w:szCs w:val="24"/>
              </w:rPr>
            </w:pPr>
            <w:r w:rsidRPr="006B1DE1">
              <w:rPr>
                <w:i/>
                <w:sz w:val="24"/>
                <w:szCs w:val="24"/>
              </w:rPr>
              <w:t xml:space="preserve">. </w:t>
            </w:r>
          </w:p>
          <w:p w14:paraId="77434A46" w14:textId="77777777" w:rsidR="00741AEB" w:rsidRPr="006B1DE1" w:rsidRDefault="00741AEB" w:rsidP="00741AEB">
            <w:pPr>
              <w:pStyle w:val="Infotext"/>
              <w:ind w:left="173"/>
              <w:rPr>
                <w:i/>
                <w:sz w:val="24"/>
                <w:szCs w:val="24"/>
              </w:rPr>
            </w:pPr>
          </w:p>
        </w:tc>
      </w:tr>
      <w:tr w:rsidR="00741AEB" w:rsidRPr="006B1DE1" w14:paraId="5A7748C7" w14:textId="77777777" w:rsidTr="00741AEB">
        <w:trPr>
          <w:trHeight w:val="965"/>
        </w:trPr>
        <w:tc>
          <w:tcPr>
            <w:tcW w:w="3025" w:type="pct"/>
            <w:tcBorders>
              <w:right w:val="nil"/>
            </w:tcBorders>
          </w:tcPr>
          <w:p w14:paraId="757C2990" w14:textId="77777777" w:rsidR="00741AEB" w:rsidRPr="006B1DE1" w:rsidRDefault="00741AEB" w:rsidP="00741AEB">
            <w:pPr>
              <w:pStyle w:val="Infotext"/>
              <w:rPr>
                <w:rFonts w:ascii="Arial Black" w:hAnsi="Arial Black"/>
                <w:color w:val="FF0000"/>
              </w:rPr>
            </w:pPr>
          </w:p>
          <w:p w14:paraId="375370D3" w14:textId="77777777" w:rsidR="00741AEB" w:rsidRPr="006B1DE1" w:rsidRDefault="00741AEB" w:rsidP="00741AEB">
            <w:pPr>
              <w:pStyle w:val="Infotext"/>
              <w:rPr>
                <w:rFonts w:ascii="Arial Black" w:hAnsi="Arial Black"/>
              </w:rPr>
            </w:pPr>
            <w:proofErr w:type="spellStart"/>
            <w:r w:rsidRPr="006B1DE1">
              <w:rPr>
                <w:rFonts w:ascii="Arial Black" w:hAnsi="Arial Black"/>
              </w:rPr>
              <w:t>EqIA</w:t>
            </w:r>
            <w:proofErr w:type="spellEnd"/>
            <w:r w:rsidRPr="006B1DE1">
              <w:rPr>
                <w:rFonts w:ascii="Arial Black" w:hAnsi="Arial Black"/>
              </w:rPr>
              <w:t xml:space="preserve"> carried out:</w:t>
            </w:r>
          </w:p>
          <w:p w14:paraId="171C1DB4" w14:textId="77777777" w:rsidR="00741AEB" w:rsidRPr="006B1DE1" w:rsidRDefault="00741AEB" w:rsidP="00741AEB">
            <w:pPr>
              <w:pStyle w:val="Infotext"/>
              <w:rPr>
                <w:rFonts w:ascii="Arial Black" w:hAnsi="Arial Black"/>
              </w:rPr>
            </w:pPr>
          </w:p>
          <w:p w14:paraId="2CAC4E12" w14:textId="77777777" w:rsidR="00741AEB" w:rsidRPr="006B1DE1" w:rsidRDefault="00741AEB" w:rsidP="00741AEB">
            <w:pPr>
              <w:pStyle w:val="Infotext"/>
              <w:rPr>
                <w:rFonts w:ascii="Arial Black" w:hAnsi="Arial Black"/>
                <w:color w:val="FF0000"/>
              </w:rPr>
            </w:pPr>
            <w:proofErr w:type="spellStart"/>
            <w:r w:rsidRPr="006B1DE1">
              <w:rPr>
                <w:rFonts w:ascii="Arial Black" w:hAnsi="Arial Black"/>
              </w:rPr>
              <w:t>EqIA</w:t>
            </w:r>
            <w:proofErr w:type="spellEnd"/>
            <w:r w:rsidRPr="006B1DE1">
              <w:rPr>
                <w:rFonts w:ascii="Arial Black" w:hAnsi="Arial Black"/>
              </w:rPr>
              <w:t xml:space="preserve"> cleared by:</w:t>
            </w:r>
          </w:p>
        </w:tc>
        <w:tc>
          <w:tcPr>
            <w:tcW w:w="1975" w:type="pct"/>
            <w:tcBorders>
              <w:left w:val="nil"/>
            </w:tcBorders>
          </w:tcPr>
          <w:p w14:paraId="693BCD8C" w14:textId="77777777" w:rsidR="00741AEB" w:rsidRPr="006B1DE1" w:rsidRDefault="00741AEB" w:rsidP="00741AEB">
            <w:pPr>
              <w:pStyle w:val="Infotext"/>
              <w:rPr>
                <w:b/>
                <w:color w:val="FF0000"/>
              </w:rPr>
            </w:pPr>
          </w:p>
          <w:p w14:paraId="364958DD" w14:textId="77777777" w:rsidR="00741AEB" w:rsidRPr="006B1DE1" w:rsidRDefault="00741AEB" w:rsidP="00741AEB">
            <w:pPr>
              <w:pStyle w:val="Infotext"/>
              <w:rPr>
                <w:b/>
              </w:rPr>
            </w:pPr>
            <w:r w:rsidRPr="006B1DE1">
              <w:rPr>
                <w:b/>
              </w:rPr>
              <w:t>NO</w:t>
            </w:r>
          </w:p>
          <w:p w14:paraId="36E2EA6E" w14:textId="499D6143" w:rsidR="00741AEB" w:rsidRPr="006B1DE1" w:rsidRDefault="00741AEB" w:rsidP="00741AEB">
            <w:pPr>
              <w:pStyle w:val="Infotext"/>
              <w:rPr>
                <w:i/>
                <w:sz w:val="24"/>
                <w:szCs w:val="24"/>
              </w:rPr>
            </w:pPr>
            <w:r w:rsidRPr="006B1DE1">
              <w:rPr>
                <w:i/>
                <w:sz w:val="24"/>
                <w:szCs w:val="24"/>
              </w:rPr>
              <w:t xml:space="preserve"> </w:t>
            </w:r>
          </w:p>
          <w:p w14:paraId="3A485720" w14:textId="77777777" w:rsidR="00741AEB" w:rsidRPr="006B1DE1" w:rsidRDefault="00741AEB" w:rsidP="00741AEB">
            <w:pPr>
              <w:pStyle w:val="Infotext"/>
              <w:rPr>
                <w:b/>
                <w:color w:val="FF0000"/>
              </w:rPr>
            </w:pPr>
          </w:p>
          <w:p w14:paraId="04434650" w14:textId="16B6FC9D" w:rsidR="00741AEB" w:rsidRPr="006B1DE1" w:rsidRDefault="00EB7D9E" w:rsidP="00741AEB">
            <w:pPr>
              <w:pStyle w:val="Infotext"/>
            </w:pPr>
            <w:r>
              <w:t>Not applicable</w:t>
            </w:r>
          </w:p>
          <w:p w14:paraId="23ED1CD1" w14:textId="77777777" w:rsidR="00741AEB" w:rsidRPr="006B1DE1" w:rsidRDefault="00741AEB" w:rsidP="00741AEB">
            <w:pPr>
              <w:pStyle w:val="Infotext"/>
              <w:rPr>
                <w:color w:val="FF0000"/>
              </w:rPr>
            </w:pPr>
          </w:p>
        </w:tc>
      </w:tr>
    </w:tbl>
    <w:p w14:paraId="2D2FE5BE" w14:textId="77777777" w:rsidR="00741AEB" w:rsidRPr="006B1DE1" w:rsidRDefault="00741AEB" w:rsidP="00741AEB"/>
    <w:p w14:paraId="218D6FA2" w14:textId="77777777" w:rsidR="00741AEB" w:rsidRPr="006B1DE1" w:rsidRDefault="00741AEB" w:rsidP="00741AEB"/>
    <w:p w14:paraId="4A0069E0" w14:textId="77777777" w:rsidR="00741AEB" w:rsidRPr="006B1DE1" w:rsidRDefault="00741AEB" w:rsidP="00741AEB">
      <w:pPr>
        <w:pStyle w:val="Heading1"/>
        <w:keepNext/>
      </w:pPr>
      <w:r w:rsidRPr="006B1DE1">
        <w:t xml:space="preserve">Section </w:t>
      </w:r>
      <w:r w:rsidR="008B25B2">
        <w:t>4</w:t>
      </w:r>
      <w:r w:rsidRPr="006B1DE1">
        <w:t xml:space="preserve"> - Contact Details and Background Papers</w:t>
      </w:r>
    </w:p>
    <w:p w14:paraId="1D9FE02C" w14:textId="77777777" w:rsidR="00741AEB" w:rsidRPr="006B1DE1" w:rsidRDefault="00741AEB" w:rsidP="00741AEB">
      <w:pPr>
        <w:keepNext/>
        <w:rPr>
          <w:rFonts w:cs="Arial"/>
        </w:rPr>
      </w:pPr>
    </w:p>
    <w:p w14:paraId="1967BB7F" w14:textId="0E1F5A6F" w:rsidR="008B25B2" w:rsidRPr="008B25B2" w:rsidRDefault="00741AEB" w:rsidP="008B25B2">
      <w:pPr>
        <w:pStyle w:val="Infotext"/>
        <w:rPr>
          <w:b/>
        </w:rPr>
      </w:pPr>
      <w:r w:rsidRPr="006B1DE1">
        <w:rPr>
          <w:b/>
        </w:rPr>
        <w:t xml:space="preserve">Contact:  </w:t>
      </w:r>
      <w:r w:rsidR="008B25B2">
        <w:t>Sharon Daniels</w:t>
      </w:r>
      <w:r w:rsidR="008B25B2" w:rsidRPr="009E22B0">
        <w:t xml:space="preserve"> (</w:t>
      </w:r>
      <w:hyperlink r:id="rId21" w:history="1">
        <w:r w:rsidR="008442CB" w:rsidRPr="00D70CEE">
          <w:rPr>
            <w:rStyle w:val="Hyperlink"/>
          </w:rPr>
          <w:t>sharon.daniels@harrow.gov.uk</w:t>
        </w:r>
      </w:hyperlink>
      <w:r w:rsidR="008B25B2" w:rsidRPr="009E22B0">
        <w:t xml:space="preserve">), </w:t>
      </w:r>
      <w:r w:rsidR="00337B3A">
        <w:t>Deputy sec151 officer Tel: 020 8424 1332</w:t>
      </w:r>
      <w:r w:rsidR="008B25B2" w:rsidRPr="009E22B0">
        <w:t xml:space="preserve"> </w:t>
      </w:r>
    </w:p>
    <w:p w14:paraId="3BB6CF20" w14:textId="77777777" w:rsidR="0079338C" w:rsidRPr="006B1DE1" w:rsidRDefault="0079338C" w:rsidP="00741AEB"/>
    <w:p w14:paraId="6F34D04B" w14:textId="22C67C39" w:rsidR="008B25B2" w:rsidRDefault="00741AEB" w:rsidP="008B25B2">
      <w:pPr>
        <w:pStyle w:val="Infotext"/>
        <w:rPr>
          <w:rStyle w:val="Hyperlink"/>
          <w:b/>
        </w:rPr>
      </w:pPr>
      <w:r w:rsidRPr="006B1DE1">
        <w:rPr>
          <w:b/>
        </w:rPr>
        <w:t xml:space="preserve">Background Papers: </w:t>
      </w:r>
      <w:r w:rsidR="008B25B2">
        <w:rPr>
          <w:b/>
        </w:rPr>
        <w:t xml:space="preserve">Cabinet February </w:t>
      </w:r>
      <w:r w:rsidR="00337B3A">
        <w:rPr>
          <w:b/>
        </w:rPr>
        <w:t xml:space="preserve">18 </w:t>
      </w:r>
      <w:r w:rsidR="008B25B2">
        <w:rPr>
          <w:b/>
        </w:rPr>
        <w:t>2016</w:t>
      </w:r>
      <w:r w:rsidR="008B25B2" w:rsidRPr="008B25B2">
        <w:rPr>
          <w:b/>
        </w:rPr>
        <w:t>:</w:t>
      </w:r>
      <w:r w:rsidR="008B25B2" w:rsidRPr="008B25B2">
        <w:rPr>
          <w:b/>
        </w:rPr>
        <w:fldChar w:fldCharType="begin"/>
      </w:r>
      <w:r w:rsidR="008B25B2" w:rsidRPr="008B25B2">
        <w:rPr>
          <w:b/>
        </w:rPr>
        <w:instrText xml:space="preserve"> HYPERLINK "http://www.harrow.gov.uk/www2/documents/g62360/Public%20reports%20pack%20Thursday%2019-Feb-2015%2018.30%20Cabinet.pdf?T=10" </w:instrText>
      </w:r>
      <w:r w:rsidR="008B25B2" w:rsidRPr="008B25B2">
        <w:rPr>
          <w:b/>
        </w:rPr>
        <w:fldChar w:fldCharType="separate"/>
      </w:r>
      <w:r w:rsidR="008B25B2">
        <w:rPr>
          <w:rStyle w:val="Hyperlink"/>
          <w:b/>
        </w:rPr>
        <w:t>Capital Programme 20</w:t>
      </w:r>
      <w:r w:rsidR="008B25B2" w:rsidRPr="008B25B2">
        <w:rPr>
          <w:rStyle w:val="Hyperlink"/>
          <w:b/>
        </w:rPr>
        <w:t>16</w:t>
      </w:r>
      <w:r w:rsidR="008B25B2">
        <w:rPr>
          <w:rStyle w:val="Hyperlink"/>
          <w:b/>
        </w:rPr>
        <w:t>/17 to 20</w:t>
      </w:r>
      <w:r w:rsidR="008B25B2" w:rsidRPr="008B25B2">
        <w:rPr>
          <w:rStyle w:val="Hyperlink"/>
          <w:b/>
        </w:rPr>
        <w:t>19</w:t>
      </w:r>
      <w:r w:rsidR="008B25B2">
        <w:rPr>
          <w:rStyle w:val="Hyperlink"/>
          <w:b/>
        </w:rPr>
        <w:t>/20</w:t>
      </w:r>
    </w:p>
    <w:p w14:paraId="33984C0F" w14:textId="03B6085A" w:rsidR="00235588" w:rsidRPr="008B25B2" w:rsidRDefault="00235588" w:rsidP="008B25B2">
      <w:pPr>
        <w:pStyle w:val="Infotext"/>
        <w:rPr>
          <w:rStyle w:val="Hyperlink"/>
          <w:b/>
        </w:rPr>
      </w:pPr>
      <w:r w:rsidRPr="00C07569">
        <w:rPr>
          <w:rStyle w:val="Hyperlink"/>
          <w:b/>
          <w:color w:val="000000" w:themeColor="text1"/>
          <w:u w:val="none"/>
        </w:rPr>
        <w:t xml:space="preserve">Cabinet December </w:t>
      </w:r>
      <w:r w:rsidR="00C07569" w:rsidRPr="00C07569">
        <w:rPr>
          <w:rStyle w:val="Hyperlink"/>
          <w:b/>
          <w:color w:val="000000" w:themeColor="text1"/>
          <w:u w:val="none"/>
        </w:rPr>
        <w:t>8 2016:</w:t>
      </w:r>
      <w:r w:rsidR="00C07569">
        <w:rPr>
          <w:rStyle w:val="Hyperlink"/>
          <w:b/>
        </w:rPr>
        <w:t xml:space="preserve"> Quarter 2 Revenue Monitoring Report. </w:t>
      </w:r>
    </w:p>
    <w:p w14:paraId="5827CCFF" w14:textId="77777777" w:rsidR="00741AEB" w:rsidRPr="006B1DE1" w:rsidRDefault="008B25B2" w:rsidP="008B25B2">
      <w:pPr>
        <w:pStyle w:val="Infotext"/>
        <w:rPr>
          <w:b/>
        </w:rPr>
      </w:pPr>
      <w:r w:rsidRPr="008B25B2">
        <w:rPr>
          <w:b/>
        </w:rPr>
        <w:lastRenderedPageBreak/>
        <w:fldChar w:fldCharType="end"/>
      </w:r>
    </w:p>
    <w:p w14:paraId="09F0474E" w14:textId="77777777" w:rsidR="00741AEB" w:rsidRPr="006B1DE1" w:rsidRDefault="00741AEB" w:rsidP="00741AEB">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35"/>
        <w:gridCol w:w="4118"/>
      </w:tblGrid>
      <w:tr w:rsidR="00741AEB" w:rsidRPr="006B1DE1" w14:paraId="5A9BCF13" w14:textId="77777777" w:rsidTr="00741AEB">
        <w:trPr>
          <w:trHeight w:val="965"/>
        </w:trPr>
        <w:tc>
          <w:tcPr>
            <w:tcW w:w="2210" w:type="pct"/>
            <w:tcBorders>
              <w:right w:val="nil"/>
            </w:tcBorders>
          </w:tcPr>
          <w:p w14:paraId="61EC27B1" w14:textId="77777777" w:rsidR="00741AEB" w:rsidRPr="006B1DE1" w:rsidRDefault="00741AEB" w:rsidP="00741AEB">
            <w:pPr>
              <w:pStyle w:val="Infotext"/>
            </w:pPr>
          </w:p>
          <w:p w14:paraId="3BBB9F85" w14:textId="77777777" w:rsidR="00741AEB" w:rsidRPr="006B1DE1" w:rsidRDefault="00741AEB">
            <w:pPr>
              <w:pStyle w:val="Infotext"/>
            </w:pPr>
            <w:r w:rsidRPr="006B1DE1">
              <w:rPr>
                <w:rFonts w:ascii="Arial Black" w:hAnsi="Arial Black"/>
              </w:rPr>
              <w:t>Call-In Waived by the Chairman of Overview and Scrutiny Committee</w:t>
            </w:r>
          </w:p>
        </w:tc>
        <w:tc>
          <w:tcPr>
            <w:tcW w:w="321" w:type="pct"/>
            <w:tcBorders>
              <w:left w:val="nil"/>
              <w:right w:val="nil"/>
            </w:tcBorders>
          </w:tcPr>
          <w:p w14:paraId="27E39293" w14:textId="77777777" w:rsidR="00741AEB" w:rsidRPr="006B1DE1" w:rsidRDefault="00741AEB" w:rsidP="00741AEB">
            <w:pPr>
              <w:pStyle w:val="Infotext"/>
            </w:pPr>
          </w:p>
        </w:tc>
        <w:tc>
          <w:tcPr>
            <w:tcW w:w="2469" w:type="pct"/>
            <w:tcBorders>
              <w:left w:val="nil"/>
            </w:tcBorders>
          </w:tcPr>
          <w:p w14:paraId="607AE266" w14:textId="77777777" w:rsidR="00741AEB" w:rsidRPr="006B1DE1" w:rsidRDefault="00741AEB" w:rsidP="00741AEB">
            <w:pPr>
              <w:pStyle w:val="Infotext"/>
            </w:pPr>
          </w:p>
          <w:p w14:paraId="654C4A74" w14:textId="77777777" w:rsidR="00741AEB" w:rsidRPr="006B1DE1" w:rsidRDefault="00741AEB" w:rsidP="00741AEB">
            <w:pPr>
              <w:pStyle w:val="Infotext"/>
            </w:pPr>
            <w:r w:rsidRPr="006B1DE1">
              <w:rPr>
                <w:b/>
              </w:rPr>
              <w:t>NOT APPLICABLE</w:t>
            </w:r>
          </w:p>
          <w:p w14:paraId="3AD13775" w14:textId="77777777" w:rsidR="00741AEB" w:rsidRPr="006B1DE1" w:rsidRDefault="00741AEB" w:rsidP="00741AEB">
            <w:pPr>
              <w:pStyle w:val="Infotext"/>
            </w:pPr>
          </w:p>
          <w:p w14:paraId="07494BE3" w14:textId="77777777" w:rsidR="00741AEB" w:rsidRPr="006B1DE1" w:rsidRDefault="00741AEB" w:rsidP="00741AEB">
            <w:pPr>
              <w:pStyle w:val="Infotext"/>
            </w:pPr>
            <w:r w:rsidRPr="006B1DE1">
              <w:t>[Call-in applies]</w:t>
            </w:r>
          </w:p>
          <w:p w14:paraId="21F108C7" w14:textId="77777777" w:rsidR="00741AEB" w:rsidRPr="006B1DE1" w:rsidRDefault="00741AEB" w:rsidP="00741AEB">
            <w:pPr>
              <w:pStyle w:val="Infotext"/>
            </w:pPr>
          </w:p>
          <w:p w14:paraId="36EA6E72" w14:textId="77777777" w:rsidR="00741AEB" w:rsidRPr="006B1DE1" w:rsidRDefault="00741AEB" w:rsidP="00741AEB">
            <w:pPr>
              <w:pStyle w:val="Infotext"/>
              <w:ind w:left="173"/>
              <w:rPr>
                <w:i/>
                <w:sz w:val="24"/>
                <w:szCs w:val="24"/>
              </w:rPr>
            </w:pPr>
          </w:p>
        </w:tc>
      </w:tr>
    </w:tbl>
    <w:p w14:paraId="644AD678" w14:textId="77777777" w:rsidR="00C541A8" w:rsidRDefault="00C541A8" w:rsidP="00D26F3A">
      <w:pPr>
        <w:ind w:left="5760" w:firstLine="720"/>
        <w:rPr>
          <w:b/>
          <w:szCs w:val="24"/>
        </w:rPr>
      </w:pPr>
    </w:p>
    <w:p w14:paraId="1C67CBE7" w14:textId="77777777" w:rsidR="008210B6" w:rsidRDefault="008210B6">
      <w:pPr>
        <w:rPr>
          <w:b/>
          <w:szCs w:val="24"/>
        </w:rPr>
      </w:pPr>
      <w:r>
        <w:rPr>
          <w:b/>
          <w:szCs w:val="24"/>
        </w:rPr>
        <w:br w:type="page"/>
      </w:r>
    </w:p>
    <w:p w14:paraId="49AB86EA" w14:textId="3C8A3032" w:rsidR="00EA7740" w:rsidRDefault="00EA7740" w:rsidP="00D26F3A">
      <w:pPr>
        <w:ind w:left="5760" w:firstLine="720"/>
        <w:rPr>
          <w:b/>
          <w:szCs w:val="24"/>
        </w:rPr>
      </w:pPr>
      <w:r>
        <w:rPr>
          <w:b/>
          <w:szCs w:val="24"/>
        </w:rPr>
        <w:t>Appendix 1</w:t>
      </w:r>
    </w:p>
    <w:p w14:paraId="54639600" w14:textId="63878DA6" w:rsidR="00B972D9" w:rsidRDefault="00B972D9" w:rsidP="00FC2412">
      <w:pPr>
        <w:rPr>
          <w:b/>
          <w:szCs w:val="24"/>
        </w:rPr>
      </w:pPr>
    </w:p>
    <w:p w14:paraId="0B7E536C" w14:textId="45FA6C6D" w:rsidR="00B972D9" w:rsidRDefault="00482D50" w:rsidP="00FC2412">
      <w:pPr>
        <w:rPr>
          <w:b/>
          <w:szCs w:val="24"/>
        </w:rPr>
      </w:pPr>
      <w:r w:rsidRPr="00482D50">
        <w:rPr>
          <w:noProof/>
          <w:lang w:eastAsia="en-GB"/>
        </w:rPr>
        <w:lastRenderedPageBreak/>
        <w:drawing>
          <wp:inline distT="0" distB="0" distL="0" distR="0" wp14:anchorId="3022ACED" wp14:editId="403C82ED">
            <wp:extent cx="5158105" cy="836554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8105" cy="8365547"/>
                    </a:xfrm>
                    <a:prstGeom prst="rect">
                      <a:avLst/>
                    </a:prstGeom>
                    <a:noFill/>
                    <a:ln>
                      <a:noFill/>
                    </a:ln>
                  </pic:spPr>
                </pic:pic>
              </a:graphicData>
            </a:graphic>
          </wp:inline>
        </w:drawing>
      </w:r>
    </w:p>
    <w:p w14:paraId="79BC4CE3" w14:textId="77777777" w:rsidR="00B972D9" w:rsidRDefault="00B972D9" w:rsidP="00FC2412">
      <w:pPr>
        <w:rPr>
          <w:b/>
          <w:szCs w:val="24"/>
        </w:rPr>
      </w:pPr>
    </w:p>
    <w:p w14:paraId="47DE9AAC" w14:textId="77777777" w:rsidR="00B972D9" w:rsidRDefault="00B972D9" w:rsidP="00FC2412">
      <w:pPr>
        <w:rPr>
          <w:b/>
          <w:szCs w:val="24"/>
        </w:rPr>
      </w:pPr>
    </w:p>
    <w:p w14:paraId="60D5BAC0" w14:textId="44DBBA63" w:rsidR="00741AEB" w:rsidRPr="006B1DE1" w:rsidRDefault="00741AEB" w:rsidP="005F5F06">
      <w:pPr>
        <w:pStyle w:val="Infotext"/>
        <w:tabs>
          <w:tab w:val="left" w:pos="1680"/>
        </w:tabs>
        <w:ind w:left="-709" w:right="-763"/>
        <w:rPr>
          <w:b/>
        </w:rPr>
      </w:pPr>
    </w:p>
    <w:sectPr w:rsidR="00741AEB" w:rsidRPr="006B1DE1" w:rsidSect="00760D1F">
      <w:footerReference w:type="default" r:id="rId23"/>
      <w:footerReference w:type="first" r:id="rId24"/>
      <w:pgSz w:w="11909" w:h="16834" w:code="9"/>
      <w:pgMar w:top="720" w:right="1986"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E34F5" w14:textId="77777777" w:rsidR="00CE5BCE" w:rsidRDefault="00CE5BCE">
      <w:r>
        <w:separator/>
      </w:r>
    </w:p>
  </w:endnote>
  <w:endnote w:type="continuationSeparator" w:id="0">
    <w:p w14:paraId="1E8C912F" w14:textId="77777777" w:rsidR="00CE5BCE" w:rsidRDefault="00CE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12300"/>
      <w:docPartObj>
        <w:docPartGallery w:val="Page Numbers (Bottom of Page)"/>
        <w:docPartUnique/>
      </w:docPartObj>
    </w:sdtPr>
    <w:sdtEndPr>
      <w:rPr>
        <w:noProof/>
      </w:rPr>
    </w:sdtEndPr>
    <w:sdtContent>
      <w:p w14:paraId="00E5DD14" w14:textId="77777777" w:rsidR="00EE7E41" w:rsidRDefault="00EE7E41">
        <w:pPr>
          <w:pStyle w:val="Footer"/>
          <w:jc w:val="center"/>
        </w:pPr>
        <w:r>
          <w:fldChar w:fldCharType="begin"/>
        </w:r>
        <w:r>
          <w:instrText xml:space="preserve"> PAGE   \* MERGEFORMAT </w:instrText>
        </w:r>
        <w:r>
          <w:fldChar w:fldCharType="separate"/>
        </w:r>
        <w:r w:rsidR="008210B6">
          <w:rPr>
            <w:noProof/>
          </w:rPr>
          <w:t>2</w:t>
        </w:r>
        <w:r>
          <w:rPr>
            <w:noProof/>
          </w:rPr>
          <w:fldChar w:fldCharType="end"/>
        </w:r>
      </w:p>
    </w:sdtContent>
  </w:sdt>
  <w:p w14:paraId="0D5EFBE5" w14:textId="77777777" w:rsidR="00EE7E41" w:rsidRDefault="00EE7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740835"/>
      <w:docPartObj>
        <w:docPartGallery w:val="Page Numbers (Bottom of Page)"/>
        <w:docPartUnique/>
      </w:docPartObj>
    </w:sdtPr>
    <w:sdtEndPr>
      <w:rPr>
        <w:noProof/>
      </w:rPr>
    </w:sdtEndPr>
    <w:sdtContent>
      <w:p w14:paraId="5E5E6487" w14:textId="77777777" w:rsidR="008210B6" w:rsidRDefault="008210B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6438654" w14:textId="77777777" w:rsidR="008210B6" w:rsidRDefault="00821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BF7B4" w14:textId="77777777" w:rsidR="008210B6" w:rsidRDefault="00821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10B29" w14:textId="77777777" w:rsidR="00CE5BCE" w:rsidRDefault="00CE5BCE">
      <w:r>
        <w:separator/>
      </w:r>
    </w:p>
  </w:footnote>
  <w:footnote w:type="continuationSeparator" w:id="0">
    <w:p w14:paraId="2ACFA284" w14:textId="77777777" w:rsidR="00CE5BCE" w:rsidRDefault="00CE5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D46"/>
    <w:multiLevelType w:val="multilevel"/>
    <w:tmpl w:val="6816A288"/>
    <w:lvl w:ilvl="0">
      <w:start w:val="2"/>
      <w:numFmt w:val="decimal"/>
      <w:lvlText w:val="%1.0"/>
      <w:lvlJc w:val="left"/>
      <w:pPr>
        <w:ind w:left="405" w:hanging="405"/>
      </w:pPr>
      <w:rPr>
        <w:rFonts w:hint="default"/>
        <w:b/>
      </w:rPr>
    </w:lvl>
    <w:lvl w:ilvl="1">
      <w:start w:val="1"/>
      <w:numFmt w:val="decimal"/>
      <w:lvlText w:val="%1.%2"/>
      <w:lvlJc w:val="left"/>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2E004A4"/>
    <w:multiLevelType w:val="hybridMultilevel"/>
    <w:tmpl w:val="48CE5584"/>
    <w:lvl w:ilvl="0" w:tplc="429008E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BD024F"/>
    <w:multiLevelType w:val="multilevel"/>
    <w:tmpl w:val="CC58FD56"/>
    <w:lvl w:ilvl="0">
      <w:start w:val="1"/>
      <w:numFmt w:val="decimal"/>
      <w:lvlText w:val="%1"/>
      <w:lvlJc w:val="left"/>
      <w:pPr>
        <w:ind w:left="360" w:hanging="360"/>
      </w:pPr>
      <w:rPr>
        <w:rFonts w:hint="default"/>
      </w:rPr>
    </w:lvl>
    <w:lvl w:ilvl="1">
      <w:start w:val="1"/>
      <w:numFmt w:val="none"/>
      <w:lvlText w:val="1"/>
      <w:lvlJc w:val="left"/>
      <w:pPr>
        <w:ind w:left="360" w:hanging="360"/>
      </w:pPr>
      <w:rPr>
        <w:rFonts w:hint="default"/>
      </w:rPr>
    </w:lvl>
    <w:lvl w:ilvl="2">
      <w:start w:val="1"/>
      <w:numFmt w:val="none"/>
      <w:lvlText w:val="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D66AB4"/>
    <w:multiLevelType w:val="multilevel"/>
    <w:tmpl w:val="30C8B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2C7440"/>
    <w:multiLevelType w:val="hybridMultilevel"/>
    <w:tmpl w:val="6D92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7312C"/>
    <w:multiLevelType w:val="hybridMultilevel"/>
    <w:tmpl w:val="64AC8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7C04DDF"/>
    <w:multiLevelType w:val="multilevel"/>
    <w:tmpl w:val="D7D240B0"/>
    <w:lvl w:ilvl="0">
      <w:start w:val="2"/>
      <w:numFmt w:val="decimal"/>
      <w:lvlText w:val="%1.0"/>
      <w:lvlJc w:val="left"/>
      <w:pPr>
        <w:ind w:left="405" w:hanging="405"/>
      </w:pPr>
      <w:rPr>
        <w:rFonts w:hint="default"/>
        <w:b/>
      </w:rPr>
    </w:lvl>
    <w:lvl w:ilvl="1">
      <w:start w:val="16"/>
      <w:numFmt w:val="decimal"/>
      <w:lvlText w:val="%1.%2"/>
      <w:lvlJc w:val="left"/>
      <w:pPr>
        <w:ind w:left="689" w:hanging="405"/>
      </w:pPr>
      <w:rPr>
        <w:rFonts w:hint="default"/>
        <w:b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87E4E54"/>
    <w:multiLevelType w:val="multilevel"/>
    <w:tmpl w:val="B4EE7DBE"/>
    <w:lvl w:ilvl="0">
      <w:start w:val="2"/>
      <w:numFmt w:val="decimal"/>
      <w:lvlText w:val="%1"/>
      <w:lvlJc w:val="left"/>
      <w:pPr>
        <w:ind w:left="465" w:hanging="465"/>
      </w:pPr>
      <w:rPr>
        <w:rFonts w:hint="default"/>
      </w:rPr>
    </w:lvl>
    <w:lvl w:ilvl="1">
      <w:start w:val="27"/>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C7C05ED"/>
    <w:multiLevelType w:val="hybridMultilevel"/>
    <w:tmpl w:val="1518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D132A"/>
    <w:multiLevelType w:val="multilevel"/>
    <w:tmpl w:val="7E227BB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41B4ADA"/>
    <w:multiLevelType w:val="hybridMultilevel"/>
    <w:tmpl w:val="E70EB44E"/>
    <w:lvl w:ilvl="0" w:tplc="331633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6B52CF"/>
    <w:multiLevelType w:val="multilevel"/>
    <w:tmpl w:val="71705806"/>
    <w:lvl w:ilvl="0">
      <w:start w:val="2"/>
      <w:numFmt w:val="decimal"/>
      <w:lvlText w:val="%1.0"/>
      <w:lvlJc w:val="left"/>
      <w:pPr>
        <w:ind w:left="405" w:hanging="405"/>
      </w:pPr>
      <w:rPr>
        <w:rFonts w:hint="default"/>
        <w:b/>
      </w:rPr>
    </w:lvl>
    <w:lvl w:ilvl="1">
      <w:start w:val="33"/>
      <w:numFmt w:val="decimal"/>
      <w:lvlText w:val="%1.%2"/>
      <w:lvlJc w:val="left"/>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C224101"/>
    <w:multiLevelType w:val="multilevel"/>
    <w:tmpl w:val="2F02AF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D363768"/>
    <w:multiLevelType w:val="hybridMultilevel"/>
    <w:tmpl w:val="2CA2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892EBC"/>
    <w:multiLevelType w:val="multilevel"/>
    <w:tmpl w:val="71E0024A"/>
    <w:lvl w:ilvl="0">
      <w:start w:val="1"/>
      <w:numFmt w:val="decimal"/>
      <w:lvlText w:val="%1"/>
      <w:lvlJc w:val="left"/>
      <w:pPr>
        <w:ind w:left="360" w:hanging="360"/>
      </w:pPr>
      <w:rPr>
        <w:rFonts w:hint="default"/>
      </w:rPr>
    </w:lvl>
    <w:lvl w:ilvl="1">
      <w:start w:val="1"/>
      <w:numFmt w:val="none"/>
      <w:lvlText w:val="1"/>
      <w:lvlJc w:val="left"/>
      <w:pPr>
        <w:ind w:left="360" w:hanging="360"/>
      </w:pPr>
      <w:rPr>
        <w:rFonts w:hint="default"/>
      </w:rPr>
    </w:lvl>
    <w:lvl w:ilvl="2">
      <w:start w:val="1"/>
      <w:numFmt w:val="none"/>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3F031DD"/>
    <w:multiLevelType w:val="hybridMultilevel"/>
    <w:tmpl w:val="952C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1D4F97"/>
    <w:multiLevelType w:val="hybridMultilevel"/>
    <w:tmpl w:val="53602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B26135"/>
    <w:multiLevelType w:val="hybridMultilevel"/>
    <w:tmpl w:val="0E1A7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852B72"/>
    <w:multiLevelType w:val="multilevel"/>
    <w:tmpl w:val="C00C1B2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3BC4B05"/>
    <w:multiLevelType w:val="hybridMultilevel"/>
    <w:tmpl w:val="B5BA198C"/>
    <w:lvl w:ilvl="0" w:tplc="A60A5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5006271"/>
    <w:multiLevelType w:val="multilevel"/>
    <w:tmpl w:val="8EE6B174"/>
    <w:lvl w:ilvl="0">
      <w:start w:val="2"/>
      <w:numFmt w:val="decimal"/>
      <w:lvlText w:val="%1"/>
      <w:lvlJc w:val="left"/>
      <w:pPr>
        <w:ind w:left="465" w:hanging="465"/>
      </w:pPr>
      <w:rPr>
        <w:rFonts w:hint="default"/>
      </w:rPr>
    </w:lvl>
    <w:lvl w:ilvl="1">
      <w:start w:val="6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5CE20FB"/>
    <w:multiLevelType w:val="hybridMultilevel"/>
    <w:tmpl w:val="215E8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555C36"/>
    <w:multiLevelType w:val="hybridMultilevel"/>
    <w:tmpl w:val="B2D4E64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3">
    <w:nsid w:val="49627DB3"/>
    <w:multiLevelType w:val="hybridMultilevel"/>
    <w:tmpl w:val="AAF29868"/>
    <w:lvl w:ilvl="0" w:tplc="08090001">
      <w:start w:val="1"/>
      <w:numFmt w:val="bullet"/>
      <w:lvlText w:val=""/>
      <w:lvlJc w:val="left"/>
      <w:pPr>
        <w:ind w:left="720" w:hanging="360"/>
      </w:pPr>
      <w:rPr>
        <w:rFonts w:ascii="Symbol" w:hAnsi="Symbol" w:hint="default"/>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255698"/>
    <w:multiLevelType w:val="multilevel"/>
    <w:tmpl w:val="BBB0E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835A32"/>
    <w:multiLevelType w:val="multilevel"/>
    <w:tmpl w:val="D4FA0E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1233EB0"/>
    <w:multiLevelType w:val="multilevel"/>
    <w:tmpl w:val="2F72B8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CCD3E8B"/>
    <w:multiLevelType w:val="hybridMultilevel"/>
    <w:tmpl w:val="377A9EDC"/>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8">
    <w:nsid w:val="6D1806FC"/>
    <w:multiLevelType w:val="hybridMultilevel"/>
    <w:tmpl w:val="33E2DEA6"/>
    <w:lvl w:ilvl="0" w:tplc="8E12D3B2">
      <w:start w:val="139"/>
      <w:numFmt w:val="decimal"/>
      <w:lvlText w:val="%1"/>
      <w:lvlJc w:val="left"/>
      <w:pPr>
        <w:ind w:left="765" w:hanging="4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2F6F4D"/>
    <w:multiLevelType w:val="multilevel"/>
    <w:tmpl w:val="D0DC1B2C"/>
    <w:lvl w:ilvl="0">
      <w:start w:val="2"/>
      <w:numFmt w:val="decimal"/>
      <w:lvlText w:val="%1"/>
      <w:lvlJc w:val="left"/>
      <w:pPr>
        <w:ind w:left="465" w:hanging="465"/>
      </w:pPr>
      <w:rPr>
        <w:rFonts w:hint="default"/>
      </w:rPr>
    </w:lvl>
    <w:lvl w:ilvl="1">
      <w:start w:val="55"/>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6D4622B"/>
    <w:multiLevelType w:val="hybridMultilevel"/>
    <w:tmpl w:val="CE226CB6"/>
    <w:lvl w:ilvl="0" w:tplc="08090017">
      <w:start w:val="1"/>
      <w:numFmt w:val="lowerLetter"/>
      <w:lvlText w:val="%1)"/>
      <w:lvlJc w:val="left"/>
      <w:pPr>
        <w:ind w:left="1080" w:hanging="360"/>
      </w:pPr>
      <w:rPr>
        <w:rFonts w:hint="default"/>
        <w:b w:val="0"/>
        <w:sz w:val="24"/>
        <w:szCs w:val="24"/>
      </w:rPr>
    </w:lvl>
    <w:lvl w:ilvl="1" w:tplc="08090019">
      <w:start w:val="1"/>
      <w:numFmt w:val="lowerLetter"/>
      <w:lvlText w:val="%2."/>
      <w:lvlJc w:val="left"/>
      <w:pPr>
        <w:ind w:left="1734" w:hanging="360"/>
      </w:pPr>
    </w:lvl>
    <w:lvl w:ilvl="2" w:tplc="CF8A885E">
      <w:numFmt w:val="bullet"/>
      <w:lvlText w:val="•"/>
      <w:lvlJc w:val="left"/>
      <w:pPr>
        <w:ind w:left="3294" w:hanging="1020"/>
      </w:pPr>
      <w:rPr>
        <w:rFonts w:ascii="Arial" w:eastAsia="Times New Roman" w:hAnsi="Arial" w:cs="Arial" w:hint="default"/>
      </w:r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1">
    <w:nsid w:val="77BB0786"/>
    <w:multiLevelType w:val="multilevel"/>
    <w:tmpl w:val="BDB429C4"/>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8094ACA"/>
    <w:multiLevelType w:val="multilevel"/>
    <w:tmpl w:val="6816A288"/>
    <w:lvl w:ilvl="0">
      <w:start w:val="2"/>
      <w:numFmt w:val="decimal"/>
      <w:lvlText w:val="%1.0"/>
      <w:lvlJc w:val="left"/>
      <w:pPr>
        <w:ind w:left="405" w:hanging="405"/>
      </w:pPr>
      <w:rPr>
        <w:rFonts w:hint="default"/>
        <w:b/>
      </w:rPr>
    </w:lvl>
    <w:lvl w:ilvl="1">
      <w:start w:val="1"/>
      <w:numFmt w:val="decimal"/>
      <w:lvlText w:val="%1.%2"/>
      <w:lvlJc w:val="left"/>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9FC18AC"/>
    <w:multiLevelType w:val="multilevel"/>
    <w:tmpl w:val="F8E86466"/>
    <w:lvl w:ilvl="0">
      <w:start w:val="2"/>
      <w:numFmt w:val="decimal"/>
      <w:lvlText w:val="%1"/>
      <w:lvlJc w:val="left"/>
      <w:pPr>
        <w:ind w:left="465" w:hanging="465"/>
      </w:pPr>
      <w:rPr>
        <w:rFonts w:hint="default"/>
      </w:rPr>
    </w:lvl>
    <w:lvl w:ilvl="1">
      <w:start w:val="48"/>
      <w:numFmt w:val="decimal"/>
      <w:lvlText w:val="%1.%2"/>
      <w:lvlJc w:val="left"/>
      <w:pPr>
        <w:ind w:left="465" w:hanging="465"/>
      </w:pPr>
      <w:rPr>
        <w:rFonts w:hint="default"/>
        <w:b w:val="0"/>
      </w:rPr>
    </w:lvl>
    <w:lvl w:ilvl="2">
      <w:start w:val="1"/>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AF37C77"/>
    <w:multiLevelType w:val="multilevel"/>
    <w:tmpl w:val="AE2AF3B2"/>
    <w:lvl w:ilvl="0">
      <w:start w:val="2"/>
      <w:numFmt w:val="decimal"/>
      <w:lvlText w:val="%1.0"/>
      <w:lvlJc w:val="left"/>
      <w:pPr>
        <w:ind w:left="405" w:hanging="405"/>
      </w:pPr>
      <w:rPr>
        <w:rFonts w:hint="default"/>
        <w:b/>
      </w:rPr>
    </w:lvl>
    <w:lvl w:ilvl="1">
      <w:start w:val="26"/>
      <w:numFmt w:val="decimal"/>
      <w:lvlText w:val="%1.%2"/>
      <w:lvlJc w:val="left"/>
      <w:pPr>
        <w:ind w:left="831" w:hanging="405"/>
      </w:pPr>
      <w:rPr>
        <w:rFonts w:hint="default"/>
        <w:b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B1473B0"/>
    <w:multiLevelType w:val="hybridMultilevel"/>
    <w:tmpl w:val="9526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0C3291"/>
    <w:multiLevelType w:val="multilevel"/>
    <w:tmpl w:val="2C0AC798"/>
    <w:lvl w:ilvl="0">
      <w:start w:val="2"/>
      <w:numFmt w:val="decimal"/>
      <w:lvlText w:val="%1"/>
      <w:lvlJc w:val="left"/>
      <w:pPr>
        <w:ind w:left="465" w:hanging="465"/>
      </w:pPr>
      <w:rPr>
        <w:rFonts w:hint="default"/>
      </w:rPr>
    </w:lvl>
    <w:lvl w:ilvl="1">
      <w:start w:val="35"/>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F150E73"/>
    <w:multiLevelType w:val="multilevel"/>
    <w:tmpl w:val="C3AC4270"/>
    <w:lvl w:ilvl="0">
      <w:start w:val="2"/>
      <w:numFmt w:val="decimal"/>
      <w:lvlText w:val="%1"/>
      <w:lvlJc w:val="left"/>
      <w:pPr>
        <w:ind w:left="465" w:hanging="465"/>
      </w:pPr>
      <w:rPr>
        <w:rFonts w:hint="default"/>
      </w:rPr>
    </w:lvl>
    <w:lvl w:ilvl="1">
      <w:start w:val="4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0"/>
  </w:num>
  <w:num w:numId="3">
    <w:abstractNumId w:val="28"/>
  </w:num>
  <w:num w:numId="4">
    <w:abstractNumId w:val="5"/>
  </w:num>
  <w:num w:numId="5">
    <w:abstractNumId w:val="2"/>
  </w:num>
  <w:num w:numId="6">
    <w:abstractNumId w:val="32"/>
  </w:num>
  <w:num w:numId="7">
    <w:abstractNumId w:val="24"/>
  </w:num>
  <w:num w:numId="8">
    <w:abstractNumId w:val="26"/>
  </w:num>
  <w:num w:numId="9">
    <w:abstractNumId w:val="9"/>
  </w:num>
  <w:num w:numId="10">
    <w:abstractNumId w:val="25"/>
  </w:num>
  <w:num w:numId="11">
    <w:abstractNumId w:val="12"/>
  </w:num>
  <w:num w:numId="12">
    <w:abstractNumId w:val="18"/>
  </w:num>
  <w:num w:numId="13">
    <w:abstractNumId w:val="1"/>
  </w:num>
  <w:num w:numId="14">
    <w:abstractNumId w:val="19"/>
  </w:num>
  <w:num w:numId="15">
    <w:abstractNumId w:val="10"/>
  </w:num>
  <w:num w:numId="16">
    <w:abstractNumId w:val="29"/>
  </w:num>
  <w:num w:numId="17">
    <w:abstractNumId w:val="7"/>
  </w:num>
  <w:num w:numId="18">
    <w:abstractNumId w:val="37"/>
  </w:num>
  <w:num w:numId="19">
    <w:abstractNumId w:val="4"/>
  </w:num>
  <w:num w:numId="20">
    <w:abstractNumId w:val="8"/>
  </w:num>
  <w:num w:numId="21">
    <w:abstractNumId w:val="22"/>
  </w:num>
  <w:num w:numId="22">
    <w:abstractNumId w:val="13"/>
  </w:num>
  <w:num w:numId="23">
    <w:abstractNumId w:val="15"/>
  </w:num>
  <w:num w:numId="24">
    <w:abstractNumId w:val="21"/>
  </w:num>
  <w:num w:numId="25">
    <w:abstractNumId w:val="20"/>
  </w:num>
  <w:num w:numId="26">
    <w:abstractNumId w:val="14"/>
  </w:num>
  <w:num w:numId="27">
    <w:abstractNumId w:val="36"/>
  </w:num>
  <w:num w:numId="28">
    <w:abstractNumId w:val="33"/>
  </w:num>
  <w:num w:numId="29">
    <w:abstractNumId w:val="3"/>
  </w:num>
  <w:num w:numId="30">
    <w:abstractNumId w:val="27"/>
  </w:num>
  <w:num w:numId="31">
    <w:abstractNumId w:val="11"/>
  </w:num>
  <w:num w:numId="32">
    <w:abstractNumId w:val="6"/>
  </w:num>
  <w:num w:numId="33">
    <w:abstractNumId w:val="23"/>
  </w:num>
  <w:num w:numId="34">
    <w:abstractNumId w:val="35"/>
  </w:num>
  <w:num w:numId="35">
    <w:abstractNumId w:val="16"/>
  </w:num>
  <w:num w:numId="36">
    <w:abstractNumId w:val="17"/>
  </w:num>
  <w:num w:numId="37">
    <w:abstractNumId w:val="0"/>
  </w:num>
  <w:num w:numId="3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13E8"/>
    <w:rsid w:val="00006F6F"/>
    <w:rsid w:val="000119C0"/>
    <w:rsid w:val="0001210E"/>
    <w:rsid w:val="00012B11"/>
    <w:rsid w:val="000131B9"/>
    <w:rsid w:val="000163EE"/>
    <w:rsid w:val="00017C91"/>
    <w:rsid w:val="0002225B"/>
    <w:rsid w:val="00022436"/>
    <w:rsid w:val="0002252A"/>
    <w:rsid w:val="0002314A"/>
    <w:rsid w:val="00025ABE"/>
    <w:rsid w:val="00027425"/>
    <w:rsid w:val="0002799D"/>
    <w:rsid w:val="00031C5C"/>
    <w:rsid w:val="00031FCC"/>
    <w:rsid w:val="0003318A"/>
    <w:rsid w:val="00037475"/>
    <w:rsid w:val="00037BE0"/>
    <w:rsid w:val="0004029A"/>
    <w:rsid w:val="00042683"/>
    <w:rsid w:val="0004310D"/>
    <w:rsid w:val="00043F86"/>
    <w:rsid w:val="000445EC"/>
    <w:rsid w:val="00045FE8"/>
    <w:rsid w:val="00053B97"/>
    <w:rsid w:val="00053BAD"/>
    <w:rsid w:val="000555AB"/>
    <w:rsid w:val="00057CF2"/>
    <w:rsid w:val="0006034E"/>
    <w:rsid w:val="000618FC"/>
    <w:rsid w:val="00061D7A"/>
    <w:rsid w:val="000621FA"/>
    <w:rsid w:val="00063078"/>
    <w:rsid w:val="00063783"/>
    <w:rsid w:val="00064800"/>
    <w:rsid w:val="000652E0"/>
    <w:rsid w:val="0006617F"/>
    <w:rsid w:val="0006687D"/>
    <w:rsid w:val="000713BD"/>
    <w:rsid w:val="00072FA7"/>
    <w:rsid w:val="00073765"/>
    <w:rsid w:val="000743C7"/>
    <w:rsid w:val="00076343"/>
    <w:rsid w:val="000773A9"/>
    <w:rsid w:val="000874FD"/>
    <w:rsid w:val="00090038"/>
    <w:rsid w:val="00090F94"/>
    <w:rsid w:val="00091897"/>
    <w:rsid w:val="00091950"/>
    <w:rsid w:val="000937DA"/>
    <w:rsid w:val="00094E7B"/>
    <w:rsid w:val="00094E90"/>
    <w:rsid w:val="00095755"/>
    <w:rsid w:val="00095A1A"/>
    <w:rsid w:val="00097294"/>
    <w:rsid w:val="00097587"/>
    <w:rsid w:val="000A0B39"/>
    <w:rsid w:val="000A4437"/>
    <w:rsid w:val="000A47D1"/>
    <w:rsid w:val="000A5229"/>
    <w:rsid w:val="000A7F0F"/>
    <w:rsid w:val="000B20C5"/>
    <w:rsid w:val="000B215B"/>
    <w:rsid w:val="000B5FC8"/>
    <w:rsid w:val="000B788F"/>
    <w:rsid w:val="000C11F1"/>
    <w:rsid w:val="000C1A07"/>
    <w:rsid w:val="000D39D4"/>
    <w:rsid w:val="000D4392"/>
    <w:rsid w:val="000D5959"/>
    <w:rsid w:val="000E5E42"/>
    <w:rsid w:val="000F0252"/>
    <w:rsid w:val="000F0621"/>
    <w:rsid w:val="000F145C"/>
    <w:rsid w:val="000F1625"/>
    <w:rsid w:val="000F2ACA"/>
    <w:rsid w:val="000F3F11"/>
    <w:rsid w:val="000F57E6"/>
    <w:rsid w:val="000F7A5A"/>
    <w:rsid w:val="000F7B80"/>
    <w:rsid w:val="00103C57"/>
    <w:rsid w:val="00103D6D"/>
    <w:rsid w:val="00105119"/>
    <w:rsid w:val="001058A6"/>
    <w:rsid w:val="00107AED"/>
    <w:rsid w:val="001122DA"/>
    <w:rsid w:val="00112721"/>
    <w:rsid w:val="00113AD3"/>
    <w:rsid w:val="00113B0F"/>
    <w:rsid w:val="0011499A"/>
    <w:rsid w:val="001161E4"/>
    <w:rsid w:val="00116FF4"/>
    <w:rsid w:val="00123FE5"/>
    <w:rsid w:val="001248DE"/>
    <w:rsid w:val="00125A0A"/>
    <w:rsid w:val="00125A26"/>
    <w:rsid w:val="00127264"/>
    <w:rsid w:val="001305E1"/>
    <w:rsid w:val="00132BD9"/>
    <w:rsid w:val="001347B9"/>
    <w:rsid w:val="00136732"/>
    <w:rsid w:val="00140391"/>
    <w:rsid w:val="00142D08"/>
    <w:rsid w:val="001446AF"/>
    <w:rsid w:val="00145163"/>
    <w:rsid w:val="0014523E"/>
    <w:rsid w:val="0014760B"/>
    <w:rsid w:val="00150782"/>
    <w:rsid w:val="00152955"/>
    <w:rsid w:val="00153933"/>
    <w:rsid w:val="0015627A"/>
    <w:rsid w:val="00156B7C"/>
    <w:rsid w:val="00156F1D"/>
    <w:rsid w:val="001617BD"/>
    <w:rsid w:val="0017148A"/>
    <w:rsid w:val="001737AD"/>
    <w:rsid w:val="00173DA5"/>
    <w:rsid w:val="001757AA"/>
    <w:rsid w:val="00175BF2"/>
    <w:rsid w:val="00177F95"/>
    <w:rsid w:val="00182EFE"/>
    <w:rsid w:val="00183402"/>
    <w:rsid w:val="00183D33"/>
    <w:rsid w:val="001840D2"/>
    <w:rsid w:val="001854AD"/>
    <w:rsid w:val="0018560B"/>
    <w:rsid w:val="001902EE"/>
    <w:rsid w:val="0019085B"/>
    <w:rsid w:val="00191901"/>
    <w:rsid w:val="00191C4D"/>
    <w:rsid w:val="00193934"/>
    <w:rsid w:val="00195BF8"/>
    <w:rsid w:val="001966D7"/>
    <w:rsid w:val="001A2C9A"/>
    <w:rsid w:val="001A2F69"/>
    <w:rsid w:val="001A637F"/>
    <w:rsid w:val="001A7F3D"/>
    <w:rsid w:val="001B10B1"/>
    <w:rsid w:val="001B18EA"/>
    <w:rsid w:val="001B2510"/>
    <w:rsid w:val="001B35A1"/>
    <w:rsid w:val="001B7156"/>
    <w:rsid w:val="001C327B"/>
    <w:rsid w:val="001C41F0"/>
    <w:rsid w:val="001C46E8"/>
    <w:rsid w:val="001C4D2E"/>
    <w:rsid w:val="001C64C0"/>
    <w:rsid w:val="001C704C"/>
    <w:rsid w:val="001C7E35"/>
    <w:rsid w:val="001E03A9"/>
    <w:rsid w:val="001E2C27"/>
    <w:rsid w:val="001E3C06"/>
    <w:rsid w:val="001E3FB6"/>
    <w:rsid w:val="001E4B42"/>
    <w:rsid w:val="001E726C"/>
    <w:rsid w:val="001E7B76"/>
    <w:rsid w:val="001F0BE9"/>
    <w:rsid w:val="001F1E67"/>
    <w:rsid w:val="001F3203"/>
    <w:rsid w:val="001F5154"/>
    <w:rsid w:val="001F6A05"/>
    <w:rsid w:val="001F7C04"/>
    <w:rsid w:val="00202B1C"/>
    <w:rsid w:val="00202D79"/>
    <w:rsid w:val="00205D2F"/>
    <w:rsid w:val="0020754A"/>
    <w:rsid w:val="002102D9"/>
    <w:rsid w:val="0021334B"/>
    <w:rsid w:val="00215E8F"/>
    <w:rsid w:val="0021777C"/>
    <w:rsid w:val="00221EBE"/>
    <w:rsid w:val="00226873"/>
    <w:rsid w:val="0022766E"/>
    <w:rsid w:val="00235588"/>
    <w:rsid w:val="002410B2"/>
    <w:rsid w:val="00245948"/>
    <w:rsid w:val="002460D0"/>
    <w:rsid w:val="00247CA6"/>
    <w:rsid w:val="00250C20"/>
    <w:rsid w:val="00252876"/>
    <w:rsid w:val="00252E7B"/>
    <w:rsid w:val="002548D1"/>
    <w:rsid w:val="00261BEE"/>
    <w:rsid w:val="00262389"/>
    <w:rsid w:val="0026276E"/>
    <w:rsid w:val="0026742C"/>
    <w:rsid w:val="002700B2"/>
    <w:rsid w:val="002723EE"/>
    <w:rsid w:val="00272BA1"/>
    <w:rsid w:val="002738A7"/>
    <w:rsid w:val="00274195"/>
    <w:rsid w:val="00274560"/>
    <w:rsid w:val="00275339"/>
    <w:rsid w:val="00277490"/>
    <w:rsid w:val="002774F4"/>
    <w:rsid w:val="00277F3C"/>
    <w:rsid w:val="0028019B"/>
    <w:rsid w:val="002807EE"/>
    <w:rsid w:val="00282502"/>
    <w:rsid w:val="0028316A"/>
    <w:rsid w:val="00287B24"/>
    <w:rsid w:val="0029131B"/>
    <w:rsid w:val="00292687"/>
    <w:rsid w:val="00292A6D"/>
    <w:rsid w:val="0029474D"/>
    <w:rsid w:val="002A03E0"/>
    <w:rsid w:val="002A27C0"/>
    <w:rsid w:val="002A2E47"/>
    <w:rsid w:val="002A3389"/>
    <w:rsid w:val="002A6274"/>
    <w:rsid w:val="002B11DD"/>
    <w:rsid w:val="002B2CBE"/>
    <w:rsid w:val="002B2F92"/>
    <w:rsid w:val="002B53D9"/>
    <w:rsid w:val="002B54A6"/>
    <w:rsid w:val="002B55CB"/>
    <w:rsid w:val="002B6ADB"/>
    <w:rsid w:val="002B767B"/>
    <w:rsid w:val="002B7B42"/>
    <w:rsid w:val="002C05D1"/>
    <w:rsid w:val="002C2BF0"/>
    <w:rsid w:val="002C36A3"/>
    <w:rsid w:val="002C3AEC"/>
    <w:rsid w:val="002C463F"/>
    <w:rsid w:val="002C5A31"/>
    <w:rsid w:val="002C672F"/>
    <w:rsid w:val="002C67F2"/>
    <w:rsid w:val="002D1517"/>
    <w:rsid w:val="002D407C"/>
    <w:rsid w:val="002E02D3"/>
    <w:rsid w:val="002E14DC"/>
    <w:rsid w:val="002E2CEA"/>
    <w:rsid w:val="002E4BE3"/>
    <w:rsid w:val="002E5AF5"/>
    <w:rsid w:val="002E7F35"/>
    <w:rsid w:val="002F019A"/>
    <w:rsid w:val="002F3BA1"/>
    <w:rsid w:val="002F3EE9"/>
    <w:rsid w:val="002F7D59"/>
    <w:rsid w:val="0030045F"/>
    <w:rsid w:val="00300486"/>
    <w:rsid w:val="00302CD3"/>
    <w:rsid w:val="0031019C"/>
    <w:rsid w:val="0031185B"/>
    <w:rsid w:val="003158E5"/>
    <w:rsid w:val="0031658B"/>
    <w:rsid w:val="00317119"/>
    <w:rsid w:val="00317314"/>
    <w:rsid w:val="00321915"/>
    <w:rsid w:val="00321F56"/>
    <w:rsid w:val="0032395C"/>
    <w:rsid w:val="0032550B"/>
    <w:rsid w:val="00326163"/>
    <w:rsid w:val="003311B8"/>
    <w:rsid w:val="003338E7"/>
    <w:rsid w:val="00333FAA"/>
    <w:rsid w:val="003355D7"/>
    <w:rsid w:val="00337B3A"/>
    <w:rsid w:val="0034597F"/>
    <w:rsid w:val="00350F07"/>
    <w:rsid w:val="00351735"/>
    <w:rsid w:val="00352721"/>
    <w:rsid w:val="0035272C"/>
    <w:rsid w:val="00354BAA"/>
    <w:rsid w:val="0036036E"/>
    <w:rsid w:val="003612D5"/>
    <w:rsid w:val="0036201C"/>
    <w:rsid w:val="00363AAE"/>
    <w:rsid w:val="00364570"/>
    <w:rsid w:val="003728EE"/>
    <w:rsid w:val="00374868"/>
    <w:rsid w:val="00374CD5"/>
    <w:rsid w:val="00374CD9"/>
    <w:rsid w:val="00375004"/>
    <w:rsid w:val="003767A0"/>
    <w:rsid w:val="003800E7"/>
    <w:rsid w:val="00381232"/>
    <w:rsid w:val="00391685"/>
    <w:rsid w:val="0039230A"/>
    <w:rsid w:val="0039329E"/>
    <w:rsid w:val="0039347D"/>
    <w:rsid w:val="00395F18"/>
    <w:rsid w:val="0039654F"/>
    <w:rsid w:val="003A1CD0"/>
    <w:rsid w:val="003B0715"/>
    <w:rsid w:val="003B39DA"/>
    <w:rsid w:val="003B7564"/>
    <w:rsid w:val="003B7581"/>
    <w:rsid w:val="003C0274"/>
    <w:rsid w:val="003C0668"/>
    <w:rsid w:val="003C0934"/>
    <w:rsid w:val="003C2B48"/>
    <w:rsid w:val="003C2EB7"/>
    <w:rsid w:val="003D2CC8"/>
    <w:rsid w:val="003D3BE2"/>
    <w:rsid w:val="003D460D"/>
    <w:rsid w:val="003D6C5E"/>
    <w:rsid w:val="003E0DBB"/>
    <w:rsid w:val="003E3DD7"/>
    <w:rsid w:val="003E4312"/>
    <w:rsid w:val="003E4584"/>
    <w:rsid w:val="003E5B92"/>
    <w:rsid w:val="003E679C"/>
    <w:rsid w:val="003E6EAA"/>
    <w:rsid w:val="003F2D68"/>
    <w:rsid w:val="003F47B4"/>
    <w:rsid w:val="003F5751"/>
    <w:rsid w:val="003F58EF"/>
    <w:rsid w:val="004032B3"/>
    <w:rsid w:val="00404FAB"/>
    <w:rsid w:val="004076C8"/>
    <w:rsid w:val="0041077E"/>
    <w:rsid w:val="00410E11"/>
    <w:rsid w:val="00410EE1"/>
    <w:rsid w:val="004113D1"/>
    <w:rsid w:val="00411ADC"/>
    <w:rsid w:val="004122E8"/>
    <w:rsid w:val="00417C41"/>
    <w:rsid w:val="00421A4C"/>
    <w:rsid w:val="00422246"/>
    <w:rsid w:val="00423E1E"/>
    <w:rsid w:val="0042411C"/>
    <w:rsid w:val="00431404"/>
    <w:rsid w:val="004333E4"/>
    <w:rsid w:val="004363F7"/>
    <w:rsid w:val="00440125"/>
    <w:rsid w:val="00440EBF"/>
    <w:rsid w:val="00442041"/>
    <w:rsid w:val="00442337"/>
    <w:rsid w:val="0044386A"/>
    <w:rsid w:val="00444185"/>
    <w:rsid w:val="00450B60"/>
    <w:rsid w:val="004528FB"/>
    <w:rsid w:val="00453541"/>
    <w:rsid w:val="00453988"/>
    <w:rsid w:val="00455115"/>
    <w:rsid w:val="004577FE"/>
    <w:rsid w:val="0046177B"/>
    <w:rsid w:val="0046460C"/>
    <w:rsid w:val="00471C1F"/>
    <w:rsid w:val="00474414"/>
    <w:rsid w:val="004751D8"/>
    <w:rsid w:val="004821B5"/>
    <w:rsid w:val="00482D50"/>
    <w:rsid w:val="00485B91"/>
    <w:rsid w:val="0048704A"/>
    <w:rsid w:val="00487842"/>
    <w:rsid w:val="004902A6"/>
    <w:rsid w:val="0049066C"/>
    <w:rsid w:val="004922C6"/>
    <w:rsid w:val="00493E11"/>
    <w:rsid w:val="00494AF7"/>
    <w:rsid w:val="004A2B66"/>
    <w:rsid w:val="004A3AE4"/>
    <w:rsid w:val="004A52E8"/>
    <w:rsid w:val="004B1F90"/>
    <w:rsid w:val="004C448D"/>
    <w:rsid w:val="004C4B5E"/>
    <w:rsid w:val="004C54F6"/>
    <w:rsid w:val="004C6495"/>
    <w:rsid w:val="004C6B6C"/>
    <w:rsid w:val="004D2DA0"/>
    <w:rsid w:val="004D6EBB"/>
    <w:rsid w:val="004E14A4"/>
    <w:rsid w:val="004E52B3"/>
    <w:rsid w:val="004E65F1"/>
    <w:rsid w:val="004E7C68"/>
    <w:rsid w:val="004F00BD"/>
    <w:rsid w:val="004F46E4"/>
    <w:rsid w:val="004F7602"/>
    <w:rsid w:val="005063FB"/>
    <w:rsid w:val="00513881"/>
    <w:rsid w:val="00515238"/>
    <w:rsid w:val="005155C8"/>
    <w:rsid w:val="00515CBD"/>
    <w:rsid w:val="00516F96"/>
    <w:rsid w:val="0052025C"/>
    <w:rsid w:val="0052035E"/>
    <w:rsid w:val="00521915"/>
    <w:rsid w:val="005248B1"/>
    <w:rsid w:val="00525353"/>
    <w:rsid w:val="005255D6"/>
    <w:rsid w:val="00525D83"/>
    <w:rsid w:val="00525E8F"/>
    <w:rsid w:val="005300D0"/>
    <w:rsid w:val="00530439"/>
    <w:rsid w:val="005308D0"/>
    <w:rsid w:val="00530E7B"/>
    <w:rsid w:val="00530EFA"/>
    <w:rsid w:val="00530FB2"/>
    <w:rsid w:val="00531BC8"/>
    <w:rsid w:val="005354D0"/>
    <w:rsid w:val="0053726E"/>
    <w:rsid w:val="005378F7"/>
    <w:rsid w:val="00543AB2"/>
    <w:rsid w:val="00544298"/>
    <w:rsid w:val="00544CAD"/>
    <w:rsid w:val="0054590F"/>
    <w:rsid w:val="005534E4"/>
    <w:rsid w:val="00553BE5"/>
    <w:rsid w:val="00556CC9"/>
    <w:rsid w:val="00560CCD"/>
    <w:rsid w:val="00561EE2"/>
    <w:rsid w:val="0056353C"/>
    <w:rsid w:val="00563CDA"/>
    <w:rsid w:val="00565B27"/>
    <w:rsid w:val="005661F5"/>
    <w:rsid w:val="0056672E"/>
    <w:rsid w:val="00570826"/>
    <w:rsid w:val="005718B5"/>
    <w:rsid w:val="00571B53"/>
    <w:rsid w:val="00576746"/>
    <w:rsid w:val="00577A02"/>
    <w:rsid w:val="005808FB"/>
    <w:rsid w:val="005813FE"/>
    <w:rsid w:val="00587B0D"/>
    <w:rsid w:val="0059016D"/>
    <w:rsid w:val="005918B7"/>
    <w:rsid w:val="0059320F"/>
    <w:rsid w:val="00594CCD"/>
    <w:rsid w:val="00595104"/>
    <w:rsid w:val="005A0162"/>
    <w:rsid w:val="005A34DF"/>
    <w:rsid w:val="005B13A9"/>
    <w:rsid w:val="005B1AE1"/>
    <w:rsid w:val="005B3F67"/>
    <w:rsid w:val="005B4870"/>
    <w:rsid w:val="005B60FD"/>
    <w:rsid w:val="005B78F9"/>
    <w:rsid w:val="005C30AC"/>
    <w:rsid w:val="005C4733"/>
    <w:rsid w:val="005C4CB8"/>
    <w:rsid w:val="005C4DBD"/>
    <w:rsid w:val="005D1119"/>
    <w:rsid w:val="005D14A7"/>
    <w:rsid w:val="005D6791"/>
    <w:rsid w:val="005D6EF5"/>
    <w:rsid w:val="005D7C56"/>
    <w:rsid w:val="005E0018"/>
    <w:rsid w:val="005E0AD9"/>
    <w:rsid w:val="005E0EC3"/>
    <w:rsid w:val="005E3A10"/>
    <w:rsid w:val="005E44E4"/>
    <w:rsid w:val="005E4674"/>
    <w:rsid w:val="005E4706"/>
    <w:rsid w:val="005E5522"/>
    <w:rsid w:val="005E553E"/>
    <w:rsid w:val="005E6295"/>
    <w:rsid w:val="005E7509"/>
    <w:rsid w:val="005E76F9"/>
    <w:rsid w:val="005F3067"/>
    <w:rsid w:val="005F30E5"/>
    <w:rsid w:val="005F3293"/>
    <w:rsid w:val="005F5F06"/>
    <w:rsid w:val="00600637"/>
    <w:rsid w:val="00603642"/>
    <w:rsid w:val="00603DCC"/>
    <w:rsid w:val="00605943"/>
    <w:rsid w:val="006069BA"/>
    <w:rsid w:val="0061014B"/>
    <w:rsid w:val="00611E90"/>
    <w:rsid w:val="00612BC3"/>
    <w:rsid w:val="00615AE4"/>
    <w:rsid w:val="0062007D"/>
    <w:rsid w:val="006222A2"/>
    <w:rsid w:val="00623A99"/>
    <w:rsid w:val="006240E1"/>
    <w:rsid w:val="006242AB"/>
    <w:rsid w:val="0062479E"/>
    <w:rsid w:val="00625425"/>
    <w:rsid w:val="00625D1B"/>
    <w:rsid w:val="00630A2C"/>
    <w:rsid w:val="00633E7A"/>
    <w:rsid w:val="006340F5"/>
    <w:rsid w:val="006344AC"/>
    <w:rsid w:val="0063497E"/>
    <w:rsid w:val="006379E1"/>
    <w:rsid w:val="00637B72"/>
    <w:rsid w:val="0064222B"/>
    <w:rsid w:val="00642FE5"/>
    <w:rsid w:val="006433BA"/>
    <w:rsid w:val="0065358C"/>
    <w:rsid w:val="00654FA2"/>
    <w:rsid w:val="00655044"/>
    <w:rsid w:val="00655C29"/>
    <w:rsid w:val="00660E65"/>
    <w:rsid w:val="00661E25"/>
    <w:rsid w:val="0066304B"/>
    <w:rsid w:val="006633C7"/>
    <w:rsid w:val="006633CE"/>
    <w:rsid w:val="0066422F"/>
    <w:rsid w:val="00670F17"/>
    <w:rsid w:val="00673E50"/>
    <w:rsid w:val="00677491"/>
    <w:rsid w:val="00677C22"/>
    <w:rsid w:val="00681DD0"/>
    <w:rsid w:val="0068735C"/>
    <w:rsid w:val="00687923"/>
    <w:rsid w:val="006909EA"/>
    <w:rsid w:val="00690DE0"/>
    <w:rsid w:val="00691A04"/>
    <w:rsid w:val="00696A83"/>
    <w:rsid w:val="00697361"/>
    <w:rsid w:val="006A0E09"/>
    <w:rsid w:val="006A19EC"/>
    <w:rsid w:val="006A317B"/>
    <w:rsid w:val="006A3A7A"/>
    <w:rsid w:val="006A3AF7"/>
    <w:rsid w:val="006A4ADD"/>
    <w:rsid w:val="006A5A1F"/>
    <w:rsid w:val="006A6FB1"/>
    <w:rsid w:val="006A74EC"/>
    <w:rsid w:val="006A77FE"/>
    <w:rsid w:val="006B1A1C"/>
    <w:rsid w:val="006B58A7"/>
    <w:rsid w:val="006B7DA6"/>
    <w:rsid w:val="006C5594"/>
    <w:rsid w:val="006C5EFC"/>
    <w:rsid w:val="006D09BE"/>
    <w:rsid w:val="006D10D2"/>
    <w:rsid w:val="006D2493"/>
    <w:rsid w:val="006D2CA4"/>
    <w:rsid w:val="006D3696"/>
    <w:rsid w:val="006E1CAF"/>
    <w:rsid w:val="006E46D0"/>
    <w:rsid w:val="006E63A7"/>
    <w:rsid w:val="006E6FA2"/>
    <w:rsid w:val="006F057C"/>
    <w:rsid w:val="006F22DA"/>
    <w:rsid w:val="006F2EB3"/>
    <w:rsid w:val="006F382F"/>
    <w:rsid w:val="006F3C68"/>
    <w:rsid w:val="006F72C6"/>
    <w:rsid w:val="0070209A"/>
    <w:rsid w:val="00702C8A"/>
    <w:rsid w:val="007031A1"/>
    <w:rsid w:val="00703881"/>
    <w:rsid w:val="00704090"/>
    <w:rsid w:val="007138C6"/>
    <w:rsid w:val="00714BEE"/>
    <w:rsid w:val="00715E68"/>
    <w:rsid w:val="00716449"/>
    <w:rsid w:val="00717FA9"/>
    <w:rsid w:val="00720057"/>
    <w:rsid w:val="00721215"/>
    <w:rsid w:val="00721524"/>
    <w:rsid w:val="00723B7F"/>
    <w:rsid w:val="00726707"/>
    <w:rsid w:val="007267D1"/>
    <w:rsid w:val="0073094C"/>
    <w:rsid w:val="00741AEB"/>
    <w:rsid w:val="00742521"/>
    <w:rsid w:val="00742D55"/>
    <w:rsid w:val="00743A86"/>
    <w:rsid w:val="00745CEB"/>
    <w:rsid w:val="00746475"/>
    <w:rsid w:val="007475D5"/>
    <w:rsid w:val="007505D5"/>
    <w:rsid w:val="00751215"/>
    <w:rsid w:val="00754F76"/>
    <w:rsid w:val="00755442"/>
    <w:rsid w:val="007573C2"/>
    <w:rsid w:val="00757FEA"/>
    <w:rsid w:val="00760D1F"/>
    <w:rsid w:val="00761C02"/>
    <w:rsid w:val="007635E6"/>
    <w:rsid w:val="0077599C"/>
    <w:rsid w:val="00776803"/>
    <w:rsid w:val="00782A49"/>
    <w:rsid w:val="00785D40"/>
    <w:rsid w:val="00790694"/>
    <w:rsid w:val="00791192"/>
    <w:rsid w:val="0079266E"/>
    <w:rsid w:val="0079338C"/>
    <w:rsid w:val="00797818"/>
    <w:rsid w:val="00797973"/>
    <w:rsid w:val="007A2234"/>
    <w:rsid w:val="007A7003"/>
    <w:rsid w:val="007A771B"/>
    <w:rsid w:val="007B033B"/>
    <w:rsid w:val="007B21A2"/>
    <w:rsid w:val="007B23FC"/>
    <w:rsid w:val="007B64C2"/>
    <w:rsid w:val="007B7826"/>
    <w:rsid w:val="007C4B86"/>
    <w:rsid w:val="007D0C1D"/>
    <w:rsid w:val="007D1D99"/>
    <w:rsid w:val="007D20C7"/>
    <w:rsid w:val="007D27B7"/>
    <w:rsid w:val="007D291B"/>
    <w:rsid w:val="007D338D"/>
    <w:rsid w:val="007D49A3"/>
    <w:rsid w:val="007D4DBF"/>
    <w:rsid w:val="007E02C9"/>
    <w:rsid w:val="007E21E1"/>
    <w:rsid w:val="007E2BC4"/>
    <w:rsid w:val="007E2E17"/>
    <w:rsid w:val="007E4580"/>
    <w:rsid w:val="007E4732"/>
    <w:rsid w:val="007E4FBF"/>
    <w:rsid w:val="007E5AE7"/>
    <w:rsid w:val="007E71BD"/>
    <w:rsid w:val="007F004E"/>
    <w:rsid w:val="007F166D"/>
    <w:rsid w:val="007F454B"/>
    <w:rsid w:val="007F4E61"/>
    <w:rsid w:val="007F7B31"/>
    <w:rsid w:val="008009C5"/>
    <w:rsid w:val="00800D19"/>
    <w:rsid w:val="00801910"/>
    <w:rsid w:val="00801D35"/>
    <w:rsid w:val="00803730"/>
    <w:rsid w:val="008076EC"/>
    <w:rsid w:val="0081219E"/>
    <w:rsid w:val="00812901"/>
    <w:rsid w:val="008157BA"/>
    <w:rsid w:val="00816135"/>
    <w:rsid w:val="008203D5"/>
    <w:rsid w:val="00820F6B"/>
    <w:rsid w:val="008210B6"/>
    <w:rsid w:val="00821970"/>
    <w:rsid w:val="00822A41"/>
    <w:rsid w:val="00822C7C"/>
    <w:rsid w:val="00822F16"/>
    <w:rsid w:val="00824451"/>
    <w:rsid w:val="00824C92"/>
    <w:rsid w:val="00824F94"/>
    <w:rsid w:val="00825FE0"/>
    <w:rsid w:val="00826B9A"/>
    <w:rsid w:val="00827664"/>
    <w:rsid w:val="00827E32"/>
    <w:rsid w:val="0083326E"/>
    <w:rsid w:val="008343D1"/>
    <w:rsid w:val="00834936"/>
    <w:rsid w:val="00835EA0"/>
    <w:rsid w:val="00837AE7"/>
    <w:rsid w:val="00837EC2"/>
    <w:rsid w:val="008442CB"/>
    <w:rsid w:val="00850216"/>
    <w:rsid w:val="00852428"/>
    <w:rsid w:val="008544F4"/>
    <w:rsid w:val="00855CBB"/>
    <w:rsid w:val="00856840"/>
    <w:rsid w:val="0085727D"/>
    <w:rsid w:val="00860227"/>
    <w:rsid w:val="00860B72"/>
    <w:rsid w:val="008615DF"/>
    <w:rsid w:val="0086722E"/>
    <w:rsid w:val="00867776"/>
    <w:rsid w:val="00872505"/>
    <w:rsid w:val="008753CD"/>
    <w:rsid w:val="00880BB3"/>
    <w:rsid w:val="00881710"/>
    <w:rsid w:val="00885435"/>
    <w:rsid w:val="00891E0A"/>
    <w:rsid w:val="00892ABA"/>
    <w:rsid w:val="008935E3"/>
    <w:rsid w:val="00894C92"/>
    <w:rsid w:val="008957C2"/>
    <w:rsid w:val="00896190"/>
    <w:rsid w:val="00897AE1"/>
    <w:rsid w:val="00897D54"/>
    <w:rsid w:val="008A0032"/>
    <w:rsid w:val="008A1CA5"/>
    <w:rsid w:val="008A4A38"/>
    <w:rsid w:val="008A73C4"/>
    <w:rsid w:val="008B25B2"/>
    <w:rsid w:val="008B678B"/>
    <w:rsid w:val="008C0CCD"/>
    <w:rsid w:val="008C179D"/>
    <w:rsid w:val="008D06CF"/>
    <w:rsid w:val="008D213B"/>
    <w:rsid w:val="008D4240"/>
    <w:rsid w:val="008D4ADA"/>
    <w:rsid w:val="008D5C78"/>
    <w:rsid w:val="008D67D6"/>
    <w:rsid w:val="008E1C20"/>
    <w:rsid w:val="008E2188"/>
    <w:rsid w:val="008E224D"/>
    <w:rsid w:val="008E2A4B"/>
    <w:rsid w:val="008E4AE1"/>
    <w:rsid w:val="008F099E"/>
    <w:rsid w:val="008F1D65"/>
    <w:rsid w:val="008F21C7"/>
    <w:rsid w:val="008F233C"/>
    <w:rsid w:val="008F4674"/>
    <w:rsid w:val="008F511F"/>
    <w:rsid w:val="009030E4"/>
    <w:rsid w:val="0090344B"/>
    <w:rsid w:val="00903C1B"/>
    <w:rsid w:val="009058F2"/>
    <w:rsid w:val="00907203"/>
    <w:rsid w:val="00910D0D"/>
    <w:rsid w:val="00920AC4"/>
    <w:rsid w:val="00921D48"/>
    <w:rsid w:val="009232E6"/>
    <w:rsid w:val="0092362F"/>
    <w:rsid w:val="0092471F"/>
    <w:rsid w:val="0092620D"/>
    <w:rsid w:val="009301E1"/>
    <w:rsid w:val="009330DC"/>
    <w:rsid w:val="00935F3A"/>
    <w:rsid w:val="00936547"/>
    <w:rsid w:val="00937C70"/>
    <w:rsid w:val="00945BD6"/>
    <w:rsid w:val="009464B2"/>
    <w:rsid w:val="009464CF"/>
    <w:rsid w:val="00950098"/>
    <w:rsid w:val="00950B0F"/>
    <w:rsid w:val="00952604"/>
    <w:rsid w:val="00952A57"/>
    <w:rsid w:val="00953298"/>
    <w:rsid w:val="00953AB1"/>
    <w:rsid w:val="00953CD0"/>
    <w:rsid w:val="00954EF4"/>
    <w:rsid w:val="0095526E"/>
    <w:rsid w:val="00956888"/>
    <w:rsid w:val="00957198"/>
    <w:rsid w:val="00957A93"/>
    <w:rsid w:val="00961707"/>
    <w:rsid w:val="0096354E"/>
    <w:rsid w:val="0096570D"/>
    <w:rsid w:val="00965ABD"/>
    <w:rsid w:val="00966A35"/>
    <w:rsid w:val="00967408"/>
    <w:rsid w:val="00972F70"/>
    <w:rsid w:val="00974AA7"/>
    <w:rsid w:val="00975720"/>
    <w:rsid w:val="009759D8"/>
    <w:rsid w:val="009806E7"/>
    <w:rsid w:val="00981662"/>
    <w:rsid w:val="009844BC"/>
    <w:rsid w:val="00986777"/>
    <w:rsid w:val="00987A2E"/>
    <w:rsid w:val="00987EA7"/>
    <w:rsid w:val="00990E9C"/>
    <w:rsid w:val="00991302"/>
    <w:rsid w:val="0099329D"/>
    <w:rsid w:val="00996F05"/>
    <w:rsid w:val="00997BE2"/>
    <w:rsid w:val="009A46AC"/>
    <w:rsid w:val="009B1429"/>
    <w:rsid w:val="009B160B"/>
    <w:rsid w:val="009B18B5"/>
    <w:rsid w:val="009B78EE"/>
    <w:rsid w:val="009C02BB"/>
    <w:rsid w:val="009C383F"/>
    <w:rsid w:val="009C512C"/>
    <w:rsid w:val="009D1039"/>
    <w:rsid w:val="009D2E0D"/>
    <w:rsid w:val="009D401D"/>
    <w:rsid w:val="009D4A01"/>
    <w:rsid w:val="009D4C10"/>
    <w:rsid w:val="009E22B0"/>
    <w:rsid w:val="009E3F49"/>
    <w:rsid w:val="009E5176"/>
    <w:rsid w:val="009E5B1B"/>
    <w:rsid w:val="009E708C"/>
    <w:rsid w:val="009E7FE2"/>
    <w:rsid w:val="009F1CB6"/>
    <w:rsid w:val="009F2B80"/>
    <w:rsid w:val="009F2E4F"/>
    <w:rsid w:val="009F51B9"/>
    <w:rsid w:val="009F5F40"/>
    <w:rsid w:val="00A00233"/>
    <w:rsid w:val="00A00952"/>
    <w:rsid w:val="00A00CBF"/>
    <w:rsid w:val="00A03C12"/>
    <w:rsid w:val="00A07300"/>
    <w:rsid w:val="00A10BDE"/>
    <w:rsid w:val="00A14F45"/>
    <w:rsid w:val="00A156F0"/>
    <w:rsid w:val="00A17813"/>
    <w:rsid w:val="00A20113"/>
    <w:rsid w:val="00A218B0"/>
    <w:rsid w:val="00A22839"/>
    <w:rsid w:val="00A229D2"/>
    <w:rsid w:val="00A2335D"/>
    <w:rsid w:val="00A31B6F"/>
    <w:rsid w:val="00A31DC0"/>
    <w:rsid w:val="00A323D9"/>
    <w:rsid w:val="00A33185"/>
    <w:rsid w:val="00A33D03"/>
    <w:rsid w:val="00A34F3C"/>
    <w:rsid w:val="00A35188"/>
    <w:rsid w:val="00A367E0"/>
    <w:rsid w:val="00A37054"/>
    <w:rsid w:val="00A41BD2"/>
    <w:rsid w:val="00A50102"/>
    <w:rsid w:val="00A50259"/>
    <w:rsid w:val="00A50565"/>
    <w:rsid w:val="00A51DA2"/>
    <w:rsid w:val="00A52D69"/>
    <w:rsid w:val="00A533C8"/>
    <w:rsid w:val="00A53B04"/>
    <w:rsid w:val="00A55425"/>
    <w:rsid w:val="00A57770"/>
    <w:rsid w:val="00A64789"/>
    <w:rsid w:val="00A712E8"/>
    <w:rsid w:val="00A72152"/>
    <w:rsid w:val="00A7271A"/>
    <w:rsid w:val="00A76D41"/>
    <w:rsid w:val="00A774A7"/>
    <w:rsid w:val="00A77B8F"/>
    <w:rsid w:val="00A81CE0"/>
    <w:rsid w:val="00A83A77"/>
    <w:rsid w:val="00A83E33"/>
    <w:rsid w:val="00A85FA8"/>
    <w:rsid w:val="00A870EE"/>
    <w:rsid w:val="00A87FA4"/>
    <w:rsid w:val="00A925C6"/>
    <w:rsid w:val="00A92E5B"/>
    <w:rsid w:val="00A969AA"/>
    <w:rsid w:val="00AA2609"/>
    <w:rsid w:val="00AA383D"/>
    <w:rsid w:val="00AA4AD6"/>
    <w:rsid w:val="00AA5DFC"/>
    <w:rsid w:val="00AA6185"/>
    <w:rsid w:val="00AA72DB"/>
    <w:rsid w:val="00AA7F02"/>
    <w:rsid w:val="00AB4C90"/>
    <w:rsid w:val="00AB61C6"/>
    <w:rsid w:val="00AB795F"/>
    <w:rsid w:val="00AC0BB3"/>
    <w:rsid w:val="00AC20C2"/>
    <w:rsid w:val="00AC26D4"/>
    <w:rsid w:val="00AC2BAA"/>
    <w:rsid w:val="00AC41DD"/>
    <w:rsid w:val="00AC44E8"/>
    <w:rsid w:val="00AC55F8"/>
    <w:rsid w:val="00AC6312"/>
    <w:rsid w:val="00AD2288"/>
    <w:rsid w:val="00AD2795"/>
    <w:rsid w:val="00AD51B1"/>
    <w:rsid w:val="00AD5506"/>
    <w:rsid w:val="00AD6E03"/>
    <w:rsid w:val="00AD73E5"/>
    <w:rsid w:val="00AD7B51"/>
    <w:rsid w:val="00AE3ADC"/>
    <w:rsid w:val="00AE517F"/>
    <w:rsid w:val="00AF0CA6"/>
    <w:rsid w:val="00AF1127"/>
    <w:rsid w:val="00AF135A"/>
    <w:rsid w:val="00AF2B2C"/>
    <w:rsid w:val="00AF438A"/>
    <w:rsid w:val="00AF598E"/>
    <w:rsid w:val="00AF641A"/>
    <w:rsid w:val="00AF6757"/>
    <w:rsid w:val="00AF6ED8"/>
    <w:rsid w:val="00AF6F1B"/>
    <w:rsid w:val="00B0165A"/>
    <w:rsid w:val="00B01AAD"/>
    <w:rsid w:val="00B0628A"/>
    <w:rsid w:val="00B073A3"/>
    <w:rsid w:val="00B1160D"/>
    <w:rsid w:val="00B125B1"/>
    <w:rsid w:val="00B13A91"/>
    <w:rsid w:val="00B15848"/>
    <w:rsid w:val="00B16263"/>
    <w:rsid w:val="00B16765"/>
    <w:rsid w:val="00B24B8E"/>
    <w:rsid w:val="00B24FC0"/>
    <w:rsid w:val="00B25D53"/>
    <w:rsid w:val="00B2735F"/>
    <w:rsid w:val="00B302F8"/>
    <w:rsid w:val="00B30899"/>
    <w:rsid w:val="00B35477"/>
    <w:rsid w:val="00B35F50"/>
    <w:rsid w:val="00B37595"/>
    <w:rsid w:val="00B40839"/>
    <w:rsid w:val="00B40EB7"/>
    <w:rsid w:val="00B42144"/>
    <w:rsid w:val="00B427A7"/>
    <w:rsid w:val="00B45938"/>
    <w:rsid w:val="00B51F06"/>
    <w:rsid w:val="00B53EFF"/>
    <w:rsid w:val="00B54070"/>
    <w:rsid w:val="00B54AFA"/>
    <w:rsid w:val="00B628F4"/>
    <w:rsid w:val="00B63C98"/>
    <w:rsid w:val="00B6659C"/>
    <w:rsid w:val="00B669C0"/>
    <w:rsid w:val="00B672AF"/>
    <w:rsid w:val="00B75106"/>
    <w:rsid w:val="00B76426"/>
    <w:rsid w:val="00B804E8"/>
    <w:rsid w:val="00B808B3"/>
    <w:rsid w:val="00B832BF"/>
    <w:rsid w:val="00B842A2"/>
    <w:rsid w:val="00B860EA"/>
    <w:rsid w:val="00B87DA1"/>
    <w:rsid w:val="00B95775"/>
    <w:rsid w:val="00B960D4"/>
    <w:rsid w:val="00B96E41"/>
    <w:rsid w:val="00B972D9"/>
    <w:rsid w:val="00BA2F19"/>
    <w:rsid w:val="00BA32FF"/>
    <w:rsid w:val="00BA3AB5"/>
    <w:rsid w:val="00BA3E2F"/>
    <w:rsid w:val="00BA442A"/>
    <w:rsid w:val="00BA52A2"/>
    <w:rsid w:val="00BA5D81"/>
    <w:rsid w:val="00BB2D40"/>
    <w:rsid w:val="00BB7370"/>
    <w:rsid w:val="00BC1681"/>
    <w:rsid w:val="00BC206C"/>
    <w:rsid w:val="00BC33D6"/>
    <w:rsid w:val="00BD1EA7"/>
    <w:rsid w:val="00BD22E6"/>
    <w:rsid w:val="00BD2623"/>
    <w:rsid w:val="00BD596A"/>
    <w:rsid w:val="00BD6EA7"/>
    <w:rsid w:val="00BE0571"/>
    <w:rsid w:val="00BE1DDA"/>
    <w:rsid w:val="00BE36D5"/>
    <w:rsid w:val="00BE3D10"/>
    <w:rsid w:val="00BE6C73"/>
    <w:rsid w:val="00BF020B"/>
    <w:rsid w:val="00BF2B08"/>
    <w:rsid w:val="00C01A35"/>
    <w:rsid w:val="00C02C5E"/>
    <w:rsid w:val="00C07569"/>
    <w:rsid w:val="00C17791"/>
    <w:rsid w:val="00C2099F"/>
    <w:rsid w:val="00C219D6"/>
    <w:rsid w:val="00C22A38"/>
    <w:rsid w:val="00C232D8"/>
    <w:rsid w:val="00C24AE1"/>
    <w:rsid w:val="00C279E9"/>
    <w:rsid w:val="00C31DDB"/>
    <w:rsid w:val="00C35CCA"/>
    <w:rsid w:val="00C36E25"/>
    <w:rsid w:val="00C36F0F"/>
    <w:rsid w:val="00C400BC"/>
    <w:rsid w:val="00C40FC9"/>
    <w:rsid w:val="00C4209C"/>
    <w:rsid w:val="00C448CF"/>
    <w:rsid w:val="00C45CF6"/>
    <w:rsid w:val="00C52CAA"/>
    <w:rsid w:val="00C541A8"/>
    <w:rsid w:val="00C57267"/>
    <w:rsid w:val="00C60D02"/>
    <w:rsid w:val="00C61CE7"/>
    <w:rsid w:val="00C6530C"/>
    <w:rsid w:val="00C700D5"/>
    <w:rsid w:val="00C70F96"/>
    <w:rsid w:val="00C71B6A"/>
    <w:rsid w:val="00C736CB"/>
    <w:rsid w:val="00C740B0"/>
    <w:rsid w:val="00C76666"/>
    <w:rsid w:val="00C801D4"/>
    <w:rsid w:val="00C81947"/>
    <w:rsid w:val="00C83EFD"/>
    <w:rsid w:val="00C858E4"/>
    <w:rsid w:val="00C85D12"/>
    <w:rsid w:val="00C90A80"/>
    <w:rsid w:val="00C93368"/>
    <w:rsid w:val="00CA050A"/>
    <w:rsid w:val="00CA1351"/>
    <w:rsid w:val="00CA3A0F"/>
    <w:rsid w:val="00CA60A9"/>
    <w:rsid w:val="00CA6707"/>
    <w:rsid w:val="00CB1A89"/>
    <w:rsid w:val="00CB2851"/>
    <w:rsid w:val="00CB3146"/>
    <w:rsid w:val="00CB4134"/>
    <w:rsid w:val="00CC124A"/>
    <w:rsid w:val="00CC3819"/>
    <w:rsid w:val="00CC4B55"/>
    <w:rsid w:val="00CC5DF2"/>
    <w:rsid w:val="00CD0219"/>
    <w:rsid w:val="00CD2BB1"/>
    <w:rsid w:val="00CE10BA"/>
    <w:rsid w:val="00CE1C9A"/>
    <w:rsid w:val="00CE2818"/>
    <w:rsid w:val="00CE38D4"/>
    <w:rsid w:val="00CE4779"/>
    <w:rsid w:val="00CE4AD3"/>
    <w:rsid w:val="00CE5BCE"/>
    <w:rsid w:val="00CE5E50"/>
    <w:rsid w:val="00CE77A2"/>
    <w:rsid w:val="00CF0FC4"/>
    <w:rsid w:val="00CF1B0C"/>
    <w:rsid w:val="00CF3C3D"/>
    <w:rsid w:val="00CF4A50"/>
    <w:rsid w:val="00CF68B3"/>
    <w:rsid w:val="00CF6932"/>
    <w:rsid w:val="00D01625"/>
    <w:rsid w:val="00D0359B"/>
    <w:rsid w:val="00D04D30"/>
    <w:rsid w:val="00D068D3"/>
    <w:rsid w:val="00D07576"/>
    <w:rsid w:val="00D10C04"/>
    <w:rsid w:val="00D164AF"/>
    <w:rsid w:val="00D17B17"/>
    <w:rsid w:val="00D236CE"/>
    <w:rsid w:val="00D23D0E"/>
    <w:rsid w:val="00D23EDC"/>
    <w:rsid w:val="00D258AC"/>
    <w:rsid w:val="00D26F3A"/>
    <w:rsid w:val="00D27440"/>
    <w:rsid w:val="00D32187"/>
    <w:rsid w:val="00D325FE"/>
    <w:rsid w:val="00D33D13"/>
    <w:rsid w:val="00D341B1"/>
    <w:rsid w:val="00D345A4"/>
    <w:rsid w:val="00D37F2F"/>
    <w:rsid w:val="00D42F5C"/>
    <w:rsid w:val="00D44E09"/>
    <w:rsid w:val="00D46ECA"/>
    <w:rsid w:val="00D52D46"/>
    <w:rsid w:val="00D537F6"/>
    <w:rsid w:val="00D57576"/>
    <w:rsid w:val="00D575A8"/>
    <w:rsid w:val="00D57782"/>
    <w:rsid w:val="00D60230"/>
    <w:rsid w:val="00D6091A"/>
    <w:rsid w:val="00D6268F"/>
    <w:rsid w:val="00D63890"/>
    <w:rsid w:val="00D645B0"/>
    <w:rsid w:val="00D64B01"/>
    <w:rsid w:val="00D709CF"/>
    <w:rsid w:val="00D70E24"/>
    <w:rsid w:val="00D72315"/>
    <w:rsid w:val="00D73C5B"/>
    <w:rsid w:val="00D74E6F"/>
    <w:rsid w:val="00D74F2C"/>
    <w:rsid w:val="00D74F9F"/>
    <w:rsid w:val="00D75528"/>
    <w:rsid w:val="00D75981"/>
    <w:rsid w:val="00D77527"/>
    <w:rsid w:val="00D80B11"/>
    <w:rsid w:val="00D81219"/>
    <w:rsid w:val="00D835CF"/>
    <w:rsid w:val="00D8519B"/>
    <w:rsid w:val="00D90114"/>
    <w:rsid w:val="00D9410F"/>
    <w:rsid w:val="00D94CFB"/>
    <w:rsid w:val="00D97004"/>
    <w:rsid w:val="00DA15A8"/>
    <w:rsid w:val="00DA26FB"/>
    <w:rsid w:val="00DA516D"/>
    <w:rsid w:val="00DA71C3"/>
    <w:rsid w:val="00DA79D7"/>
    <w:rsid w:val="00DB0FDF"/>
    <w:rsid w:val="00DB1472"/>
    <w:rsid w:val="00DB20A2"/>
    <w:rsid w:val="00DB3161"/>
    <w:rsid w:val="00DB4DB4"/>
    <w:rsid w:val="00DB69D1"/>
    <w:rsid w:val="00DB6C3D"/>
    <w:rsid w:val="00DB7BED"/>
    <w:rsid w:val="00DC01E7"/>
    <w:rsid w:val="00DC128E"/>
    <w:rsid w:val="00DC2166"/>
    <w:rsid w:val="00DC4901"/>
    <w:rsid w:val="00DC5ACF"/>
    <w:rsid w:val="00DC5AEC"/>
    <w:rsid w:val="00DC6BE7"/>
    <w:rsid w:val="00DC76F0"/>
    <w:rsid w:val="00DD0380"/>
    <w:rsid w:val="00DD0511"/>
    <w:rsid w:val="00DD3A49"/>
    <w:rsid w:val="00DD4356"/>
    <w:rsid w:val="00DD5B35"/>
    <w:rsid w:val="00DD6AC4"/>
    <w:rsid w:val="00DD72DA"/>
    <w:rsid w:val="00DE030F"/>
    <w:rsid w:val="00DE0509"/>
    <w:rsid w:val="00DE1242"/>
    <w:rsid w:val="00DE2DFD"/>
    <w:rsid w:val="00DE2FCF"/>
    <w:rsid w:val="00DE5AED"/>
    <w:rsid w:val="00DE71D3"/>
    <w:rsid w:val="00DF041B"/>
    <w:rsid w:val="00DF08A0"/>
    <w:rsid w:val="00DF1633"/>
    <w:rsid w:val="00DF582A"/>
    <w:rsid w:val="00DF7785"/>
    <w:rsid w:val="00E04578"/>
    <w:rsid w:val="00E121EB"/>
    <w:rsid w:val="00E13D48"/>
    <w:rsid w:val="00E17F6D"/>
    <w:rsid w:val="00E204CF"/>
    <w:rsid w:val="00E20900"/>
    <w:rsid w:val="00E20DFD"/>
    <w:rsid w:val="00E2312A"/>
    <w:rsid w:val="00E23241"/>
    <w:rsid w:val="00E245ED"/>
    <w:rsid w:val="00E35125"/>
    <w:rsid w:val="00E35A9A"/>
    <w:rsid w:val="00E36ECB"/>
    <w:rsid w:val="00E37974"/>
    <w:rsid w:val="00E409A4"/>
    <w:rsid w:val="00E4537B"/>
    <w:rsid w:val="00E45B58"/>
    <w:rsid w:val="00E45D9C"/>
    <w:rsid w:val="00E46227"/>
    <w:rsid w:val="00E46742"/>
    <w:rsid w:val="00E51227"/>
    <w:rsid w:val="00E54720"/>
    <w:rsid w:val="00E54FB7"/>
    <w:rsid w:val="00E614EA"/>
    <w:rsid w:val="00E621F0"/>
    <w:rsid w:val="00E634A6"/>
    <w:rsid w:val="00E6369A"/>
    <w:rsid w:val="00E63ECB"/>
    <w:rsid w:val="00E6414C"/>
    <w:rsid w:val="00E66211"/>
    <w:rsid w:val="00E662CB"/>
    <w:rsid w:val="00E701F5"/>
    <w:rsid w:val="00E70285"/>
    <w:rsid w:val="00E73C8D"/>
    <w:rsid w:val="00E77F63"/>
    <w:rsid w:val="00E81CDB"/>
    <w:rsid w:val="00E82FDF"/>
    <w:rsid w:val="00E836A2"/>
    <w:rsid w:val="00E867BC"/>
    <w:rsid w:val="00E871FD"/>
    <w:rsid w:val="00E9008D"/>
    <w:rsid w:val="00E9195A"/>
    <w:rsid w:val="00E92D72"/>
    <w:rsid w:val="00EA341D"/>
    <w:rsid w:val="00EA5DE4"/>
    <w:rsid w:val="00EA628D"/>
    <w:rsid w:val="00EA64B8"/>
    <w:rsid w:val="00EA6835"/>
    <w:rsid w:val="00EA7740"/>
    <w:rsid w:val="00EB2DA7"/>
    <w:rsid w:val="00EB4273"/>
    <w:rsid w:val="00EB4D15"/>
    <w:rsid w:val="00EB50F9"/>
    <w:rsid w:val="00EB5E57"/>
    <w:rsid w:val="00EB6D76"/>
    <w:rsid w:val="00EB7D9E"/>
    <w:rsid w:val="00EC0063"/>
    <w:rsid w:val="00EC4DF1"/>
    <w:rsid w:val="00EC54FC"/>
    <w:rsid w:val="00EC64D6"/>
    <w:rsid w:val="00ED1B32"/>
    <w:rsid w:val="00ED24BB"/>
    <w:rsid w:val="00ED2651"/>
    <w:rsid w:val="00ED300C"/>
    <w:rsid w:val="00ED30C9"/>
    <w:rsid w:val="00ED6420"/>
    <w:rsid w:val="00ED6C9E"/>
    <w:rsid w:val="00EE4D14"/>
    <w:rsid w:val="00EE65BB"/>
    <w:rsid w:val="00EE7E41"/>
    <w:rsid w:val="00EF3E22"/>
    <w:rsid w:val="00EF6A6A"/>
    <w:rsid w:val="00EF71A0"/>
    <w:rsid w:val="00F005D1"/>
    <w:rsid w:val="00F01D48"/>
    <w:rsid w:val="00F023E2"/>
    <w:rsid w:val="00F04E04"/>
    <w:rsid w:val="00F06855"/>
    <w:rsid w:val="00F0774E"/>
    <w:rsid w:val="00F126D7"/>
    <w:rsid w:val="00F13EF5"/>
    <w:rsid w:val="00F13F91"/>
    <w:rsid w:val="00F13FA8"/>
    <w:rsid w:val="00F27386"/>
    <w:rsid w:val="00F277FB"/>
    <w:rsid w:val="00F31003"/>
    <w:rsid w:val="00F33E77"/>
    <w:rsid w:val="00F349A6"/>
    <w:rsid w:val="00F3582A"/>
    <w:rsid w:val="00F41EA3"/>
    <w:rsid w:val="00F42849"/>
    <w:rsid w:val="00F43333"/>
    <w:rsid w:val="00F433A0"/>
    <w:rsid w:val="00F43911"/>
    <w:rsid w:val="00F4466E"/>
    <w:rsid w:val="00F528C7"/>
    <w:rsid w:val="00F55A32"/>
    <w:rsid w:val="00F5649A"/>
    <w:rsid w:val="00F63C15"/>
    <w:rsid w:val="00F650D7"/>
    <w:rsid w:val="00F67A46"/>
    <w:rsid w:val="00F71339"/>
    <w:rsid w:val="00F71F33"/>
    <w:rsid w:val="00F77E61"/>
    <w:rsid w:val="00F82334"/>
    <w:rsid w:val="00F82342"/>
    <w:rsid w:val="00F84DDA"/>
    <w:rsid w:val="00F84EA8"/>
    <w:rsid w:val="00F85627"/>
    <w:rsid w:val="00F86C1B"/>
    <w:rsid w:val="00F91AE4"/>
    <w:rsid w:val="00F92624"/>
    <w:rsid w:val="00F958CE"/>
    <w:rsid w:val="00F9680A"/>
    <w:rsid w:val="00F97476"/>
    <w:rsid w:val="00FA1127"/>
    <w:rsid w:val="00FA1523"/>
    <w:rsid w:val="00FA3412"/>
    <w:rsid w:val="00FA3CAE"/>
    <w:rsid w:val="00FA49B5"/>
    <w:rsid w:val="00FA4E9F"/>
    <w:rsid w:val="00FA5D52"/>
    <w:rsid w:val="00FA683C"/>
    <w:rsid w:val="00FB1231"/>
    <w:rsid w:val="00FB15BC"/>
    <w:rsid w:val="00FB1C9E"/>
    <w:rsid w:val="00FB22C8"/>
    <w:rsid w:val="00FB408B"/>
    <w:rsid w:val="00FB466B"/>
    <w:rsid w:val="00FB5786"/>
    <w:rsid w:val="00FB5C5B"/>
    <w:rsid w:val="00FB6429"/>
    <w:rsid w:val="00FB7541"/>
    <w:rsid w:val="00FB7C1F"/>
    <w:rsid w:val="00FC090C"/>
    <w:rsid w:val="00FC2412"/>
    <w:rsid w:val="00FC3E85"/>
    <w:rsid w:val="00FC5307"/>
    <w:rsid w:val="00FC627D"/>
    <w:rsid w:val="00FD1466"/>
    <w:rsid w:val="00FD1A9C"/>
    <w:rsid w:val="00FD633E"/>
    <w:rsid w:val="00FD7191"/>
    <w:rsid w:val="00FE0B00"/>
    <w:rsid w:val="00FE17E2"/>
    <w:rsid w:val="00FE6146"/>
    <w:rsid w:val="00FF095F"/>
    <w:rsid w:val="00FF0AF3"/>
    <w:rsid w:val="00FF170C"/>
    <w:rsid w:val="00FF3668"/>
    <w:rsid w:val="00FF4967"/>
    <w:rsid w:val="00FF509C"/>
    <w:rsid w:val="00FF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1563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22F"/>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1">
    <w:name w:val="Char Char Char Char Char Char Char Char1"/>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5">
    <w:name w:val="Char Char Char Char5"/>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CharCharCharChar4">
    <w:name w:val="Char Char Char Char4"/>
    <w:basedOn w:val="Normal"/>
    <w:locked/>
    <w:rsid w:val="00DC5AEC"/>
    <w:pPr>
      <w:spacing w:after="160" w:line="240" w:lineRule="exact"/>
    </w:pPr>
    <w:rPr>
      <w:rFonts w:ascii="Verdana" w:hAnsi="Verdana"/>
      <w:sz w:val="20"/>
      <w:lang w:val="en-US"/>
    </w:rPr>
  </w:style>
  <w:style w:type="paragraph" w:styleId="Revision">
    <w:name w:val="Revision"/>
    <w:hidden/>
    <w:uiPriority w:val="99"/>
    <w:semiHidden/>
    <w:rsid w:val="00F71F33"/>
    <w:rPr>
      <w:rFonts w:ascii="Arial" w:hAnsi="Arial"/>
      <w:sz w:val="24"/>
      <w:lang w:eastAsia="en-US"/>
    </w:rPr>
  </w:style>
  <w:style w:type="paragraph" w:customStyle="1" w:styleId="Default">
    <w:name w:val="Default"/>
    <w:rsid w:val="0062479E"/>
    <w:pPr>
      <w:autoSpaceDE w:val="0"/>
      <w:autoSpaceDN w:val="0"/>
      <w:adjustRightInd w:val="0"/>
    </w:pPr>
    <w:rPr>
      <w:rFonts w:ascii="Arial" w:eastAsia="Calibri" w:hAnsi="Arial" w:cs="Arial"/>
      <w:color w:val="000000"/>
      <w:sz w:val="24"/>
      <w:szCs w:val="24"/>
    </w:rPr>
  </w:style>
  <w:style w:type="paragraph" w:customStyle="1" w:styleId="CharCharCharChar3">
    <w:name w:val="Char Char Char Char3"/>
    <w:basedOn w:val="Normal"/>
    <w:locked/>
    <w:rsid w:val="00E121EB"/>
    <w:pPr>
      <w:spacing w:after="160" w:line="240" w:lineRule="exact"/>
    </w:pPr>
    <w:rPr>
      <w:rFonts w:ascii="Verdana" w:hAnsi="Verdana"/>
      <w:sz w:val="20"/>
      <w:lang w:val="en-US"/>
    </w:rPr>
  </w:style>
  <w:style w:type="paragraph" w:customStyle="1" w:styleId="CharCharCharChar1">
    <w:name w:val="Char Char Char Char1"/>
    <w:basedOn w:val="Normal"/>
    <w:locked/>
    <w:rsid w:val="00E662CB"/>
    <w:pPr>
      <w:spacing w:after="160" w:line="240" w:lineRule="exact"/>
    </w:pPr>
    <w:rPr>
      <w:rFonts w:ascii="Verdana" w:hAnsi="Verdana"/>
      <w:sz w:val="20"/>
      <w:lang w:val="en-US"/>
    </w:rPr>
  </w:style>
  <w:style w:type="character" w:styleId="LineNumber">
    <w:name w:val="line number"/>
    <w:basedOn w:val="DefaultParagraphFont"/>
    <w:rsid w:val="00D73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22F"/>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1">
    <w:name w:val="Char Char Char Char Char Char Char Char1"/>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5">
    <w:name w:val="Char Char Char Char5"/>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CharCharCharChar4">
    <w:name w:val="Char Char Char Char4"/>
    <w:basedOn w:val="Normal"/>
    <w:locked/>
    <w:rsid w:val="00DC5AEC"/>
    <w:pPr>
      <w:spacing w:after="160" w:line="240" w:lineRule="exact"/>
    </w:pPr>
    <w:rPr>
      <w:rFonts w:ascii="Verdana" w:hAnsi="Verdana"/>
      <w:sz w:val="20"/>
      <w:lang w:val="en-US"/>
    </w:rPr>
  </w:style>
  <w:style w:type="paragraph" w:styleId="Revision">
    <w:name w:val="Revision"/>
    <w:hidden/>
    <w:uiPriority w:val="99"/>
    <w:semiHidden/>
    <w:rsid w:val="00F71F33"/>
    <w:rPr>
      <w:rFonts w:ascii="Arial" w:hAnsi="Arial"/>
      <w:sz w:val="24"/>
      <w:lang w:eastAsia="en-US"/>
    </w:rPr>
  </w:style>
  <w:style w:type="paragraph" w:customStyle="1" w:styleId="Default">
    <w:name w:val="Default"/>
    <w:rsid w:val="0062479E"/>
    <w:pPr>
      <w:autoSpaceDE w:val="0"/>
      <w:autoSpaceDN w:val="0"/>
      <w:adjustRightInd w:val="0"/>
    </w:pPr>
    <w:rPr>
      <w:rFonts w:ascii="Arial" w:eastAsia="Calibri" w:hAnsi="Arial" w:cs="Arial"/>
      <w:color w:val="000000"/>
      <w:sz w:val="24"/>
      <w:szCs w:val="24"/>
    </w:rPr>
  </w:style>
  <w:style w:type="paragraph" w:customStyle="1" w:styleId="CharCharCharChar3">
    <w:name w:val="Char Char Char Char3"/>
    <w:basedOn w:val="Normal"/>
    <w:locked/>
    <w:rsid w:val="00E121EB"/>
    <w:pPr>
      <w:spacing w:after="160" w:line="240" w:lineRule="exact"/>
    </w:pPr>
    <w:rPr>
      <w:rFonts w:ascii="Verdana" w:hAnsi="Verdana"/>
      <w:sz w:val="20"/>
      <w:lang w:val="en-US"/>
    </w:rPr>
  </w:style>
  <w:style w:type="paragraph" w:customStyle="1" w:styleId="CharCharCharChar1">
    <w:name w:val="Char Char Char Char1"/>
    <w:basedOn w:val="Normal"/>
    <w:locked/>
    <w:rsid w:val="00E662CB"/>
    <w:pPr>
      <w:spacing w:after="160" w:line="240" w:lineRule="exact"/>
    </w:pPr>
    <w:rPr>
      <w:rFonts w:ascii="Verdana" w:hAnsi="Verdana"/>
      <w:sz w:val="20"/>
      <w:lang w:val="en-US"/>
    </w:rPr>
  </w:style>
  <w:style w:type="character" w:styleId="LineNumber">
    <w:name w:val="line number"/>
    <w:basedOn w:val="DefaultParagraphFont"/>
    <w:rsid w:val="00D7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9124">
      <w:bodyDiv w:val="1"/>
      <w:marLeft w:val="0"/>
      <w:marRight w:val="0"/>
      <w:marTop w:val="0"/>
      <w:marBottom w:val="0"/>
      <w:divBdr>
        <w:top w:val="none" w:sz="0" w:space="0" w:color="auto"/>
        <w:left w:val="none" w:sz="0" w:space="0" w:color="auto"/>
        <w:bottom w:val="none" w:sz="0" w:space="0" w:color="auto"/>
        <w:right w:val="none" w:sz="0" w:space="0" w:color="auto"/>
      </w:divBdr>
    </w:div>
    <w:div w:id="30808353">
      <w:bodyDiv w:val="1"/>
      <w:marLeft w:val="0"/>
      <w:marRight w:val="0"/>
      <w:marTop w:val="0"/>
      <w:marBottom w:val="0"/>
      <w:divBdr>
        <w:top w:val="none" w:sz="0" w:space="0" w:color="auto"/>
        <w:left w:val="none" w:sz="0" w:space="0" w:color="auto"/>
        <w:bottom w:val="none" w:sz="0" w:space="0" w:color="auto"/>
        <w:right w:val="none" w:sz="0" w:space="0" w:color="auto"/>
      </w:divBdr>
    </w:div>
    <w:div w:id="49160106">
      <w:bodyDiv w:val="1"/>
      <w:marLeft w:val="0"/>
      <w:marRight w:val="0"/>
      <w:marTop w:val="0"/>
      <w:marBottom w:val="0"/>
      <w:divBdr>
        <w:top w:val="none" w:sz="0" w:space="0" w:color="auto"/>
        <w:left w:val="none" w:sz="0" w:space="0" w:color="auto"/>
        <w:bottom w:val="none" w:sz="0" w:space="0" w:color="auto"/>
        <w:right w:val="none" w:sz="0" w:space="0" w:color="auto"/>
      </w:divBdr>
    </w:div>
    <w:div w:id="52389938">
      <w:bodyDiv w:val="1"/>
      <w:marLeft w:val="0"/>
      <w:marRight w:val="0"/>
      <w:marTop w:val="0"/>
      <w:marBottom w:val="0"/>
      <w:divBdr>
        <w:top w:val="none" w:sz="0" w:space="0" w:color="auto"/>
        <w:left w:val="none" w:sz="0" w:space="0" w:color="auto"/>
        <w:bottom w:val="none" w:sz="0" w:space="0" w:color="auto"/>
        <w:right w:val="none" w:sz="0" w:space="0" w:color="auto"/>
      </w:divBdr>
    </w:div>
    <w:div w:id="78210410">
      <w:bodyDiv w:val="1"/>
      <w:marLeft w:val="0"/>
      <w:marRight w:val="0"/>
      <w:marTop w:val="0"/>
      <w:marBottom w:val="0"/>
      <w:divBdr>
        <w:top w:val="none" w:sz="0" w:space="0" w:color="auto"/>
        <w:left w:val="none" w:sz="0" w:space="0" w:color="auto"/>
        <w:bottom w:val="none" w:sz="0" w:space="0" w:color="auto"/>
        <w:right w:val="none" w:sz="0" w:space="0" w:color="auto"/>
      </w:divBdr>
    </w:div>
    <w:div w:id="107049033">
      <w:bodyDiv w:val="1"/>
      <w:marLeft w:val="0"/>
      <w:marRight w:val="0"/>
      <w:marTop w:val="0"/>
      <w:marBottom w:val="0"/>
      <w:divBdr>
        <w:top w:val="none" w:sz="0" w:space="0" w:color="auto"/>
        <w:left w:val="none" w:sz="0" w:space="0" w:color="auto"/>
        <w:bottom w:val="none" w:sz="0" w:space="0" w:color="auto"/>
        <w:right w:val="none" w:sz="0" w:space="0" w:color="auto"/>
      </w:divBdr>
    </w:div>
    <w:div w:id="117378666">
      <w:bodyDiv w:val="1"/>
      <w:marLeft w:val="0"/>
      <w:marRight w:val="0"/>
      <w:marTop w:val="0"/>
      <w:marBottom w:val="0"/>
      <w:divBdr>
        <w:top w:val="none" w:sz="0" w:space="0" w:color="auto"/>
        <w:left w:val="none" w:sz="0" w:space="0" w:color="auto"/>
        <w:bottom w:val="none" w:sz="0" w:space="0" w:color="auto"/>
        <w:right w:val="none" w:sz="0" w:space="0" w:color="auto"/>
      </w:divBdr>
    </w:div>
    <w:div w:id="133106798">
      <w:bodyDiv w:val="1"/>
      <w:marLeft w:val="0"/>
      <w:marRight w:val="0"/>
      <w:marTop w:val="0"/>
      <w:marBottom w:val="0"/>
      <w:divBdr>
        <w:top w:val="none" w:sz="0" w:space="0" w:color="auto"/>
        <w:left w:val="none" w:sz="0" w:space="0" w:color="auto"/>
        <w:bottom w:val="none" w:sz="0" w:space="0" w:color="auto"/>
        <w:right w:val="none" w:sz="0" w:space="0" w:color="auto"/>
      </w:divBdr>
    </w:div>
    <w:div w:id="194927581">
      <w:bodyDiv w:val="1"/>
      <w:marLeft w:val="0"/>
      <w:marRight w:val="0"/>
      <w:marTop w:val="0"/>
      <w:marBottom w:val="0"/>
      <w:divBdr>
        <w:top w:val="none" w:sz="0" w:space="0" w:color="auto"/>
        <w:left w:val="none" w:sz="0" w:space="0" w:color="auto"/>
        <w:bottom w:val="none" w:sz="0" w:space="0" w:color="auto"/>
        <w:right w:val="none" w:sz="0" w:space="0" w:color="auto"/>
      </w:divBdr>
    </w:div>
    <w:div w:id="200484648">
      <w:bodyDiv w:val="1"/>
      <w:marLeft w:val="0"/>
      <w:marRight w:val="0"/>
      <w:marTop w:val="0"/>
      <w:marBottom w:val="0"/>
      <w:divBdr>
        <w:top w:val="none" w:sz="0" w:space="0" w:color="auto"/>
        <w:left w:val="none" w:sz="0" w:space="0" w:color="auto"/>
        <w:bottom w:val="none" w:sz="0" w:space="0" w:color="auto"/>
        <w:right w:val="none" w:sz="0" w:space="0" w:color="auto"/>
      </w:divBdr>
    </w:div>
    <w:div w:id="231702436">
      <w:bodyDiv w:val="1"/>
      <w:marLeft w:val="0"/>
      <w:marRight w:val="0"/>
      <w:marTop w:val="0"/>
      <w:marBottom w:val="0"/>
      <w:divBdr>
        <w:top w:val="none" w:sz="0" w:space="0" w:color="auto"/>
        <w:left w:val="none" w:sz="0" w:space="0" w:color="auto"/>
        <w:bottom w:val="none" w:sz="0" w:space="0" w:color="auto"/>
        <w:right w:val="none" w:sz="0" w:space="0" w:color="auto"/>
      </w:divBdr>
    </w:div>
    <w:div w:id="302582166">
      <w:bodyDiv w:val="1"/>
      <w:marLeft w:val="0"/>
      <w:marRight w:val="0"/>
      <w:marTop w:val="0"/>
      <w:marBottom w:val="0"/>
      <w:divBdr>
        <w:top w:val="none" w:sz="0" w:space="0" w:color="auto"/>
        <w:left w:val="none" w:sz="0" w:space="0" w:color="auto"/>
        <w:bottom w:val="none" w:sz="0" w:space="0" w:color="auto"/>
        <w:right w:val="none" w:sz="0" w:space="0" w:color="auto"/>
      </w:divBdr>
    </w:div>
    <w:div w:id="307631738">
      <w:bodyDiv w:val="1"/>
      <w:marLeft w:val="0"/>
      <w:marRight w:val="0"/>
      <w:marTop w:val="0"/>
      <w:marBottom w:val="0"/>
      <w:divBdr>
        <w:top w:val="none" w:sz="0" w:space="0" w:color="auto"/>
        <w:left w:val="none" w:sz="0" w:space="0" w:color="auto"/>
        <w:bottom w:val="none" w:sz="0" w:space="0" w:color="auto"/>
        <w:right w:val="none" w:sz="0" w:space="0" w:color="auto"/>
      </w:divBdr>
    </w:div>
    <w:div w:id="328993865">
      <w:bodyDiv w:val="1"/>
      <w:marLeft w:val="0"/>
      <w:marRight w:val="0"/>
      <w:marTop w:val="0"/>
      <w:marBottom w:val="0"/>
      <w:divBdr>
        <w:top w:val="none" w:sz="0" w:space="0" w:color="auto"/>
        <w:left w:val="none" w:sz="0" w:space="0" w:color="auto"/>
        <w:bottom w:val="none" w:sz="0" w:space="0" w:color="auto"/>
        <w:right w:val="none" w:sz="0" w:space="0" w:color="auto"/>
      </w:divBdr>
    </w:div>
    <w:div w:id="381443550">
      <w:bodyDiv w:val="1"/>
      <w:marLeft w:val="0"/>
      <w:marRight w:val="0"/>
      <w:marTop w:val="0"/>
      <w:marBottom w:val="0"/>
      <w:divBdr>
        <w:top w:val="none" w:sz="0" w:space="0" w:color="auto"/>
        <w:left w:val="none" w:sz="0" w:space="0" w:color="auto"/>
        <w:bottom w:val="none" w:sz="0" w:space="0" w:color="auto"/>
        <w:right w:val="none" w:sz="0" w:space="0" w:color="auto"/>
      </w:divBdr>
    </w:div>
    <w:div w:id="387068493">
      <w:bodyDiv w:val="1"/>
      <w:marLeft w:val="0"/>
      <w:marRight w:val="0"/>
      <w:marTop w:val="0"/>
      <w:marBottom w:val="0"/>
      <w:divBdr>
        <w:top w:val="none" w:sz="0" w:space="0" w:color="auto"/>
        <w:left w:val="none" w:sz="0" w:space="0" w:color="auto"/>
        <w:bottom w:val="none" w:sz="0" w:space="0" w:color="auto"/>
        <w:right w:val="none" w:sz="0" w:space="0" w:color="auto"/>
      </w:divBdr>
    </w:div>
    <w:div w:id="428282078">
      <w:bodyDiv w:val="1"/>
      <w:marLeft w:val="0"/>
      <w:marRight w:val="0"/>
      <w:marTop w:val="0"/>
      <w:marBottom w:val="0"/>
      <w:divBdr>
        <w:top w:val="none" w:sz="0" w:space="0" w:color="auto"/>
        <w:left w:val="none" w:sz="0" w:space="0" w:color="auto"/>
        <w:bottom w:val="none" w:sz="0" w:space="0" w:color="auto"/>
        <w:right w:val="none" w:sz="0" w:space="0" w:color="auto"/>
      </w:divBdr>
    </w:div>
    <w:div w:id="439422349">
      <w:bodyDiv w:val="1"/>
      <w:marLeft w:val="0"/>
      <w:marRight w:val="0"/>
      <w:marTop w:val="0"/>
      <w:marBottom w:val="0"/>
      <w:divBdr>
        <w:top w:val="none" w:sz="0" w:space="0" w:color="auto"/>
        <w:left w:val="none" w:sz="0" w:space="0" w:color="auto"/>
        <w:bottom w:val="none" w:sz="0" w:space="0" w:color="auto"/>
        <w:right w:val="none" w:sz="0" w:space="0" w:color="auto"/>
      </w:divBdr>
    </w:div>
    <w:div w:id="488905775">
      <w:bodyDiv w:val="1"/>
      <w:marLeft w:val="0"/>
      <w:marRight w:val="0"/>
      <w:marTop w:val="0"/>
      <w:marBottom w:val="0"/>
      <w:divBdr>
        <w:top w:val="none" w:sz="0" w:space="0" w:color="auto"/>
        <w:left w:val="none" w:sz="0" w:space="0" w:color="auto"/>
        <w:bottom w:val="none" w:sz="0" w:space="0" w:color="auto"/>
        <w:right w:val="none" w:sz="0" w:space="0" w:color="auto"/>
      </w:divBdr>
    </w:div>
    <w:div w:id="514854331">
      <w:bodyDiv w:val="1"/>
      <w:marLeft w:val="0"/>
      <w:marRight w:val="0"/>
      <w:marTop w:val="0"/>
      <w:marBottom w:val="0"/>
      <w:divBdr>
        <w:top w:val="none" w:sz="0" w:space="0" w:color="auto"/>
        <w:left w:val="none" w:sz="0" w:space="0" w:color="auto"/>
        <w:bottom w:val="none" w:sz="0" w:space="0" w:color="auto"/>
        <w:right w:val="none" w:sz="0" w:space="0" w:color="auto"/>
      </w:divBdr>
    </w:div>
    <w:div w:id="517423826">
      <w:bodyDiv w:val="1"/>
      <w:marLeft w:val="0"/>
      <w:marRight w:val="0"/>
      <w:marTop w:val="0"/>
      <w:marBottom w:val="0"/>
      <w:divBdr>
        <w:top w:val="none" w:sz="0" w:space="0" w:color="auto"/>
        <w:left w:val="none" w:sz="0" w:space="0" w:color="auto"/>
        <w:bottom w:val="none" w:sz="0" w:space="0" w:color="auto"/>
        <w:right w:val="none" w:sz="0" w:space="0" w:color="auto"/>
      </w:divBdr>
    </w:div>
    <w:div w:id="531958617">
      <w:bodyDiv w:val="1"/>
      <w:marLeft w:val="0"/>
      <w:marRight w:val="0"/>
      <w:marTop w:val="0"/>
      <w:marBottom w:val="0"/>
      <w:divBdr>
        <w:top w:val="none" w:sz="0" w:space="0" w:color="auto"/>
        <w:left w:val="none" w:sz="0" w:space="0" w:color="auto"/>
        <w:bottom w:val="none" w:sz="0" w:space="0" w:color="auto"/>
        <w:right w:val="none" w:sz="0" w:space="0" w:color="auto"/>
      </w:divBdr>
    </w:div>
    <w:div w:id="576522347">
      <w:bodyDiv w:val="1"/>
      <w:marLeft w:val="0"/>
      <w:marRight w:val="0"/>
      <w:marTop w:val="0"/>
      <w:marBottom w:val="0"/>
      <w:divBdr>
        <w:top w:val="none" w:sz="0" w:space="0" w:color="auto"/>
        <w:left w:val="none" w:sz="0" w:space="0" w:color="auto"/>
        <w:bottom w:val="none" w:sz="0" w:space="0" w:color="auto"/>
        <w:right w:val="none" w:sz="0" w:space="0" w:color="auto"/>
      </w:divBdr>
    </w:div>
    <w:div w:id="585725146">
      <w:bodyDiv w:val="1"/>
      <w:marLeft w:val="0"/>
      <w:marRight w:val="0"/>
      <w:marTop w:val="0"/>
      <w:marBottom w:val="0"/>
      <w:divBdr>
        <w:top w:val="none" w:sz="0" w:space="0" w:color="auto"/>
        <w:left w:val="none" w:sz="0" w:space="0" w:color="auto"/>
        <w:bottom w:val="none" w:sz="0" w:space="0" w:color="auto"/>
        <w:right w:val="none" w:sz="0" w:space="0" w:color="auto"/>
      </w:divBdr>
    </w:div>
    <w:div w:id="599871168">
      <w:bodyDiv w:val="1"/>
      <w:marLeft w:val="0"/>
      <w:marRight w:val="0"/>
      <w:marTop w:val="0"/>
      <w:marBottom w:val="0"/>
      <w:divBdr>
        <w:top w:val="none" w:sz="0" w:space="0" w:color="auto"/>
        <w:left w:val="none" w:sz="0" w:space="0" w:color="auto"/>
        <w:bottom w:val="none" w:sz="0" w:space="0" w:color="auto"/>
        <w:right w:val="none" w:sz="0" w:space="0" w:color="auto"/>
      </w:divBdr>
    </w:div>
    <w:div w:id="622003602">
      <w:bodyDiv w:val="1"/>
      <w:marLeft w:val="0"/>
      <w:marRight w:val="0"/>
      <w:marTop w:val="0"/>
      <w:marBottom w:val="0"/>
      <w:divBdr>
        <w:top w:val="none" w:sz="0" w:space="0" w:color="auto"/>
        <w:left w:val="none" w:sz="0" w:space="0" w:color="auto"/>
        <w:bottom w:val="none" w:sz="0" w:space="0" w:color="auto"/>
        <w:right w:val="none" w:sz="0" w:space="0" w:color="auto"/>
      </w:divBdr>
    </w:div>
    <w:div w:id="625818848">
      <w:bodyDiv w:val="1"/>
      <w:marLeft w:val="0"/>
      <w:marRight w:val="0"/>
      <w:marTop w:val="0"/>
      <w:marBottom w:val="0"/>
      <w:divBdr>
        <w:top w:val="none" w:sz="0" w:space="0" w:color="auto"/>
        <w:left w:val="none" w:sz="0" w:space="0" w:color="auto"/>
        <w:bottom w:val="none" w:sz="0" w:space="0" w:color="auto"/>
        <w:right w:val="none" w:sz="0" w:space="0" w:color="auto"/>
      </w:divBdr>
    </w:div>
    <w:div w:id="650015930">
      <w:bodyDiv w:val="1"/>
      <w:marLeft w:val="0"/>
      <w:marRight w:val="0"/>
      <w:marTop w:val="0"/>
      <w:marBottom w:val="0"/>
      <w:divBdr>
        <w:top w:val="none" w:sz="0" w:space="0" w:color="auto"/>
        <w:left w:val="none" w:sz="0" w:space="0" w:color="auto"/>
        <w:bottom w:val="none" w:sz="0" w:space="0" w:color="auto"/>
        <w:right w:val="none" w:sz="0" w:space="0" w:color="auto"/>
      </w:divBdr>
    </w:div>
    <w:div w:id="705176114">
      <w:bodyDiv w:val="1"/>
      <w:marLeft w:val="0"/>
      <w:marRight w:val="0"/>
      <w:marTop w:val="0"/>
      <w:marBottom w:val="0"/>
      <w:divBdr>
        <w:top w:val="none" w:sz="0" w:space="0" w:color="auto"/>
        <w:left w:val="none" w:sz="0" w:space="0" w:color="auto"/>
        <w:bottom w:val="none" w:sz="0" w:space="0" w:color="auto"/>
        <w:right w:val="none" w:sz="0" w:space="0" w:color="auto"/>
      </w:divBdr>
    </w:div>
    <w:div w:id="72714816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8701017">
      <w:bodyDiv w:val="1"/>
      <w:marLeft w:val="0"/>
      <w:marRight w:val="0"/>
      <w:marTop w:val="0"/>
      <w:marBottom w:val="0"/>
      <w:divBdr>
        <w:top w:val="none" w:sz="0" w:space="0" w:color="auto"/>
        <w:left w:val="none" w:sz="0" w:space="0" w:color="auto"/>
        <w:bottom w:val="none" w:sz="0" w:space="0" w:color="auto"/>
        <w:right w:val="none" w:sz="0" w:space="0" w:color="auto"/>
      </w:divBdr>
    </w:div>
    <w:div w:id="784078437">
      <w:bodyDiv w:val="1"/>
      <w:marLeft w:val="0"/>
      <w:marRight w:val="0"/>
      <w:marTop w:val="0"/>
      <w:marBottom w:val="0"/>
      <w:divBdr>
        <w:top w:val="none" w:sz="0" w:space="0" w:color="auto"/>
        <w:left w:val="none" w:sz="0" w:space="0" w:color="auto"/>
        <w:bottom w:val="none" w:sz="0" w:space="0" w:color="auto"/>
        <w:right w:val="none" w:sz="0" w:space="0" w:color="auto"/>
      </w:divBdr>
    </w:div>
    <w:div w:id="794366769">
      <w:bodyDiv w:val="1"/>
      <w:marLeft w:val="0"/>
      <w:marRight w:val="0"/>
      <w:marTop w:val="0"/>
      <w:marBottom w:val="0"/>
      <w:divBdr>
        <w:top w:val="none" w:sz="0" w:space="0" w:color="auto"/>
        <w:left w:val="none" w:sz="0" w:space="0" w:color="auto"/>
        <w:bottom w:val="none" w:sz="0" w:space="0" w:color="auto"/>
        <w:right w:val="none" w:sz="0" w:space="0" w:color="auto"/>
      </w:divBdr>
    </w:div>
    <w:div w:id="799609494">
      <w:bodyDiv w:val="1"/>
      <w:marLeft w:val="0"/>
      <w:marRight w:val="0"/>
      <w:marTop w:val="0"/>
      <w:marBottom w:val="0"/>
      <w:divBdr>
        <w:top w:val="none" w:sz="0" w:space="0" w:color="auto"/>
        <w:left w:val="none" w:sz="0" w:space="0" w:color="auto"/>
        <w:bottom w:val="none" w:sz="0" w:space="0" w:color="auto"/>
        <w:right w:val="none" w:sz="0" w:space="0" w:color="auto"/>
      </w:divBdr>
    </w:div>
    <w:div w:id="801769158">
      <w:bodyDiv w:val="1"/>
      <w:marLeft w:val="0"/>
      <w:marRight w:val="0"/>
      <w:marTop w:val="0"/>
      <w:marBottom w:val="0"/>
      <w:divBdr>
        <w:top w:val="none" w:sz="0" w:space="0" w:color="auto"/>
        <w:left w:val="none" w:sz="0" w:space="0" w:color="auto"/>
        <w:bottom w:val="none" w:sz="0" w:space="0" w:color="auto"/>
        <w:right w:val="none" w:sz="0" w:space="0" w:color="auto"/>
      </w:divBdr>
    </w:div>
    <w:div w:id="870073555">
      <w:bodyDiv w:val="1"/>
      <w:marLeft w:val="0"/>
      <w:marRight w:val="0"/>
      <w:marTop w:val="0"/>
      <w:marBottom w:val="0"/>
      <w:divBdr>
        <w:top w:val="none" w:sz="0" w:space="0" w:color="auto"/>
        <w:left w:val="none" w:sz="0" w:space="0" w:color="auto"/>
        <w:bottom w:val="none" w:sz="0" w:space="0" w:color="auto"/>
        <w:right w:val="none" w:sz="0" w:space="0" w:color="auto"/>
      </w:divBdr>
    </w:div>
    <w:div w:id="892154293">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07420434">
      <w:bodyDiv w:val="1"/>
      <w:marLeft w:val="0"/>
      <w:marRight w:val="0"/>
      <w:marTop w:val="0"/>
      <w:marBottom w:val="0"/>
      <w:divBdr>
        <w:top w:val="none" w:sz="0" w:space="0" w:color="auto"/>
        <w:left w:val="none" w:sz="0" w:space="0" w:color="auto"/>
        <w:bottom w:val="none" w:sz="0" w:space="0" w:color="auto"/>
        <w:right w:val="none" w:sz="0" w:space="0" w:color="auto"/>
      </w:divBdr>
    </w:div>
    <w:div w:id="910583300">
      <w:bodyDiv w:val="1"/>
      <w:marLeft w:val="0"/>
      <w:marRight w:val="0"/>
      <w:marTop w:val="0"/>
      <w:marBottom w:val="0"/>
      <w:divBdr>
        <w:top w:val="none" w:sz="0" w:space="0" w:color="auto"/>
        <w:left w:val="none" w:sz="0" w:space="0" w:color="auto"/>
        <w:bottom w:val="none" w:sz="0" w:space="0" w:color="auto"/>
        <w:right w:val="none" w:sz="0" w:space="0" w:color="auto"/>
      </w:divBdr>
    </w:div>
    <w:div w:id="937564921">
      <w:bodyDiv w:val="1"/>
      <w:marLeft w:val="0"/>
      <w:marRight w:val="0"/>
      <w:marTop w:val="0"/>
      <w:marBottom w:val="0"/>
      <w:divBdr>
        <w:top w:val="none" w:sz="0" w:space="0" w:color="auto"/>
        <w:left w:val="none" w:sz="0" w:space="0" w:color="auto"/>
        <w:bottom w:val="none" w:sz="0" w:space="0" w:color="auto"/>
        <w:right w:val="none" w:sz="0" w:space="0" w:color="auto"/>
      </w:divBdr>
    </w:div>
    <w:div w:id="944456009">
      <w:bodyDiv w:val="1"/>
      <w:marLeft w:val="0"/>
      <w:marRight w:val="0"/>
      <w:marTop w:val="0"/>
      <w:marBottom w:val="0"/>
      <w:divBdr>
        <w:top w:val="none" w:sz="0" w:space="0" w:color="auto"/>
        <w:left w:val="none" w:sz="0" w:space="0" w:color="auto"/>
        <w:bottom w:val="none" w:sz="0" w:space="0" w:color="auto"/>
        <w:right w:val="none" w:sz="0" w:space="0" w:color="auto"/>
      </w:divBdr>
    </w:div>
    <w:div w:id="961233044">
      <w:bodyDiv w:val="1"/>
      <w:marLeft w:val="0"/>
      <w:marRight w:val="0"/>
      <w:marTop w:val="0"/>
      <w:marBottom w:val="0"/>
      <w:divBdr>
        <w:top w:val="none" w:sz="0" w:space="0" w:color="auto"/>
        <w:left w:val="none" w:sz="0" w:space="0" w:color="auto"/>
        <w:bottom w:val="none" w:sz="0" w:space="0" w:color="auto"/>
        <w:right w:val="none" w:sz="0" w:space="0" w:color="auto"/>
      </w:divBdr>
    </w:div>
    <w:div w:id="975918538">
      <w:bodyDiv w:val="1"/>
      <w:marLeft w:val="0"/>
      <w:marRight w:val="0"/>
      <w:marTop w:val="0"/>
      <w:marBottom w:val="0"/>
      <w:divBdr>
        <w:top w:val="none" w:sz="0" w:space="0" w:color="auto"/>
        <w:left w:val="none" w:sz="0" w:space="0" w:color="auto"/>
        <w:bottom w:val="none" w:sz="0" w:space="0" w:color="auto"/>
        <w:right w:val="none" w:sz="0" w:space="0" w:color="auto"/>
      </w:divBdr>
    </w:div>
    <w:div w:id="1001084558">
      <w:bodyDiv w:val="1"/>
      <w:marLeft w:val="0"/>
      <w:marRight w:val="0"/>
      <w:marTop w:val="0"/>
      <w:marBottom w:val="0"/>
      <w:divBdr>
        <w:top w:val="none" w:sz="0" w:space="0" w:color="auto"/>
        <w:left w:val="none" w:sz="0" w:space="0" w:color="auto"/>
        <w:bottom w:val="none" w:sz="0" w:space="0" w:color="auto"/>
        <w:right w:val="none" w:sz="0" w:space="0" w:color="auto"/>
      </w:divBdr>
    </w:div>
    <w:div w:id="1006320112">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8581141">
      <w:bodyDiv w:val="1"/>
      <w:marLeft w:val="0"/>
      <w:marRight w:val="0"/>
      <w:marTop w:val="0"/>
      <w:marBottom w:val="0"/>
      <w:divBdr>
        <w:top w:val="none" w:sz="0" w:space="0" w:color="auto"/>
        <w:left w:val="none" w:sz="0" w:space="0" w:color="auto"/>
        <w:bottom w:val="none" w:sz="0" w:space="0" w:color="auto"/>
        <w:right w:val="none" w:sz="0" w:space="0" w:color="auto"/>
      </w:divBdr>
    </w:div>
    <w:div w:id="1108235562">
      <w:bodyDiv w:val="1"/>
      <w:marLeft w:val="0"/>
      <w:marRight w:val="0"/>
      <w:marTop w:val="0"/>
      <w:marBottom w:val="0"/>
      <w:divBdr>
        <w:top w:val="none" w:sz="0" w:space="0" w:color="auto"/>
        <w:left w:val="none" w:sz="0" w:space="0" w:color="auto"/>
        <w:bottom w:val="none" w:sz="0" w:space="0" w:color="auto"/>
        <w:right w:val="none" w:sz="0" w:space="0" w:color="auto"/>
      </w:divBdr>
    </w:div>
    <w:div w:id="1152872379">
      <w:bodyDiv w:val="1"/>
      <w:marLeft w:val="0"/>
      <w:marRight w:val="0"/>
      <w:marTop w:val="0"/>
      <w:marBottom w:val="0"/>
      <w:divBdr>
        <w:top w:val="none" w:sz="0" w:space="0" w:color="auto"/>
        <w:left w:val="none" w:sz="0" w:space="0" w:color="auto"/>
        <w:bottom w:val="none" w:sz="0" w:space="0" w:color="auto"/>
        <w:right w:val="none" w:sz="0" w:space="0" w:color="auto"/>
      </w:divBdr>
    </w:div>
    <w:div w:id="1154562323">
      <w:bodyDiv w:val="1"/>
      <w:marLeft w:val="0"/>
      <w:marRight w:val="0"/>
      <w:marTop w:val="0"/>
      <w:marBottom w:val="0"/>
      <w:divBdr>
        <w:top w:val="none" w:sz="0" w:space="0" w:color="auto"/>
        <w:left w:val="none" w:sz="0" w:space="0" w:color="auto"/>
        <w:bottom w:val="none" w:sz="0" w:space="0" w:color="auto"/>
        <w:right w:val="none" w:sz="0" w:space="0" w:color="auto"/>
      </w:divBdr>
    </w:div>
    <w:div w:id="1188563571">
      <w:bodyDiv w:val="1"/>
      <w:marLeft w:val="0"/>
      <w:marRight w:val="0"/>
      <w:marTop w:val="0"/>
      <w:marBottom w:val="0"/>
      <w:divBdr>
        <w:top w:val="none" w:sz="0" w:space="0" w:color="auto"/>
        <w:left w:val="none" w:sz="0" w:space="0" w:color="auto"/>
        <w:bottom w:val="none" w:sz="0" w:space="0" w:color="auto"/>
        <w:right w:val="none" w:sz="0" w:space="0" w:color="auto"/>
      </w:divBdr>
    </w:div>
    <w:div w:id="1189417999">
      <w:bodyDiv w:val="1"/>
      <w:marLeft w:val="0"/>
      <w:marRight w:val="0"/>
      <w:marTop w:val="0"/>
      <w:marBottom w:val="0"/>
      <w:divBdr>
        <w:top w:val="none" w:sz="0" w:space="0" w:color="auto"/>
        <w:left w:val="none" w:sz="0" w:space="0" w:color="auto"/>
        <w:bottom w:val="none" w:sz="0" w:space="0" w:color="auto"/>
        <w:right w:val="none" w:sz="0" w:space="0" w:color="auto"/>
      </w:divBdr>
    </w:div>
    <w:div w:id="1256015590">
      <w:bodyDiv w:val="1"/>
      <w:marLeft w:val="0"/>
      <w:marRight w:val="0"/>
      <w:marTop w:val="0"/>
      <w:marBottom w:val="0"/>
      <w:divBdr>
        <w:top w:val="none" w:sz="0" w:space="0" w:color="auto"/>
        <w:left w:val="none" w:sz="0" w:space="0" w:color="auto"/>
        <w:bottom w:val="none" w:sz="0" w:space="0" w:color="auto"/>
        <w:right w:val="none" w:sz="0" w:space="0" w:color="auto"/>
      </w:divBdr>
    </w:div>
    <w:div w:id="1273442074">
      <w:bodyDiv w:val="1"/>
      <w:marLeft w:val="0"/>
      <w:marRight w:val="0"/>
      <w:marTop w:val="0"/>
      <w:marBottom w:val="0"/>
      <w:divBdr>
        <w:top w:val="none" w:sz="0" w:space="0" w:color="auto"/>
        <w:left w:val="none" w:sz="0" w:space="0" w:color="auto"/>
        <w:bottom w:val="none" w:sz="0" w:space="0" w:color="auto"/>
        <w:right w:val="none" w:sz="0" w:space="0" w:color="auto"/>
      </w:divBdr>
    </w:div>
    <w:div w:id="1282810118">
      <w:bodyDiv w:val="1"/>
      <w:marLeft w:val="0"/>
      <w:marRight w:val="0"/>
      <w:marTop w:val="0"/>
      <w:marBottom w:val="0"/>
      <w:divBdr>
        <w:top w:val="none" w:sz="0" w:space="0" w:color="auto"/>
        <w:left w:val="none" w:sz="0" w:space="0" w:color="auto"/>
        <w:bottom w:val="none" w:sz="0" w:space="0" w:color="auto"/>
        <w:right w:val="none" w:sz="0" w:space="0" w:color="auto"/>
      </w:divBdr>
    </w:div>
    <w:div w:id="1283919981">
      <w:bodyDiv w:val="1"/>
      <w:marLeft w:val="0"/>
      <w:marRight w:val="0"/>
      <w:marTop w:val="0"/>
      <w:marBottom w:val="0"/>
      <w:divBdr>
        <w:top w:val="none" w:sz="0" w:space="0" w:color="auto"/>
        <w:left w:val="none" w:sz="0" w:space="0" w:color="auto"/>
        <w:bottom w:val="none" w:sz="0" w:space="0" w:color="auto"/>
        <w:right w:val="none" w:sz="0" w:space="0" w:color="auto"/>
      </w:divBdr>
    </w:div>
    <w:div w:id="1306661539">
      <w:bodyDiv w:val="1"/>
      <w:marLeft w:val="0"/>
      <w:marRight w:val="0"/>
      <w:marTop w:val="0"/>
      <w:marBottom w:val="0"/>
      <w:divBdr>
        <w:top w:val="none" w:sz="0" w:space="0" w:color="auto"/>
        <w:left w:val="none" w:sz="0" w:space="0" w:color="auto"/>
        <w:bottom w:val="none" w:sz="0" w:space="0" w:color="auto"/>
        <w:right w:val="none" w:sz="0" w:space="0" w:color="auto"/>
      </w:divBdr>
    </w:div>
    <w:div w:id="1352294673">
      <w:bodyDiv w:val="1"/>
      <w:marLeft w:val="0"/>
      <w:marRight w:val="0"/>
      <w:marTop w:val="0"/>
      <w:marBottom w:val="0"/>
      <w:divBdr>
        <w:top w:val="none" w:sz="0" w:space="0" w:color="auto"/>
        <w:left w:val="none" w:sz="0" w:space="0" w:color="auto"/>
        <w:bottom w:val="none" w:sz="0" w:space="0" w:color="auto"/>
        <w:right w:val="none" w:sz="0" w:space="0" w:color="auto"/>
      </w:divBdr>
    </w:div>
    <w:div w:id="1352537325">
      <w:bodyDiv w:val="1"/>
      <w:marLeft w:val="0"/>
      <w:marRight w:val="0"/>
      <w:marTop w:val="0"/>
      <w:marBottom w:val="0"/>
      <w:divBdr>
        <w:top w:val="none" w:sz="0" w:space="0" w:color="auto"/>
        <w:left w:val="none" w:sz="0" w:space="0" w:color="auto"/>
        <w:bottom w:val="none" w:sz="0" w:space="0" w:color="auto"/>
        <w:right w:val="none" w:sz="0" w:space="0" w:color="auto"/>
      </w:divBdr>
    </w:div>
    <w:div w:id="1362394914">
      <w:bodyDiv w:val="1"/>
      <w:marLeft w:val="0"/>
      <w:marRight w:val="0"/>
      <w:marTop w:val="0"/>
      <w:marBottom w:val="0"/>
      <w:divBdr>
        <w:top w:val="none" w:sz="0" w:space="0" w:color="auto"/>
        <w:left w:val="none" w:sz="0" w:space="0" w:color="auto"/>
        <w:bottom w:val="none" w:sz="0" w:space="0" w:color="auto"/>
        <w:right w:val="none" w:sz="0" w:space="0" w:color="auto"/>
      </w:divBdr>
    </w:div>
    <w:div w:id="1383217168">
      <w:bodyDiv w:val="1"/>
      <w:marLeft w:val="0"/>
      <w:marRight w:val="0"/>
      <w:marTop w:val="0"/>
      <w:marBottom w:val="0"/>
      <w:divBdr>
        <w:top w:val="none" w:sz="0" w:space="0" w:color="auto"/>
        <w:left w:val="none" w:sz="0" w:space="0" w:color="auto"/>
        <w:bottom w:val="none" w:sz="0" w:space="0" w:color="auto"/>
        <w:right w:val="none" w:sz="0" w:space="0" w:color="auto"/>
      </w:divBdr>
    </w:div>
    <w:div w:id="1419332322">
      <w:bodyDiv w:val="1"/>
      <w:marLeft w:val="0"/>
      <w:marRight w:val="0"/>
      <w:marTop w:val="0"/>
      <w:marBottom w:val="0"/>
      <w:divBdr>
        <w:top w:val="none" w:sz="0" w:space="0" w:color="auto"/>
        <w:left w:val="none" w:sz="0" w:space="0" w:color="auto"/>
        <w:bottom w:val="none" w:sz="0" w:space="0" w:color="auto"/>
        <w:right w:val="none" w:sz="0" w:space="0" w:color="auto"/>
      </w:divBdr>
    </w:div>
    <w:div w:id="1435125131">
      <w:bodyDiv w:val="1"/>
      <w:marLeft w:val="0"/>
      <w:marRight w:val="0"/>
      <w:marTop w:val="0"/>
      <w:marBottom w:val="0"/>
      <w:divBdr>
        <w:top w:val="none" w:sz="0" w:space="0" w:color="auto"/>
        <w:left w:val="none" w:sz="0" w:space="0" w:color="auto"/>
        <w:bottom w:val="none" w:sz="0" w:space="0" w:color="auto"/>
        <w:right w:val="none" w:sz="0" w:space="0" w:color="auto"/>
      </w:divBdr>
    </w:div>
    <w:div w:id="1460682138">
      <w:bodyDiv w:val="1"/>
      <w:marLeft w:val="0"/>
      <w:marRight w:val="0"/>
      <w:marTop w:val="0"/>
      <w:marBottom w:val="0"/>
      <w:divBdr>
        <w:top w:val="none" w:sz="0" w:space="0" w:color="auto"/>
        <w:left w:val="none" w:sz="0" w:space="0" w:color="auto"/>
        <w:bottom w:val="none" w:sz="0" w:space="0" w:color="auto"/>
        <w:right w:val="none" w:sz="0" w:space="0" w:color="auto"/>
      </w:divBdr>
    </w:div>
    <w:div w:id="1540436434">
      <w:bodyDiv w:val="1"/>
      <w:marLeft w:val="0"/>
      <w:marRight w:val="0"/>
      <w:marTop w:val="0"/>
      <w:marBottom w:val="0"/>
      <w:divBdr>
        <w:top w:val="none" w:sz="0" w:space="0" w:color="auto"/>
        <w:left w:val="none" w:sz="0" w:space="0" w:color="auto"/>
        <w:bottom w:val="none" w:sz="0" w:space="0" w:color="auto"/>
        <w:right w:val="none" w:sz="0" w:space="0" w:color="auto"/>
      </w:divBdr>
    </w:div>
    <w:div w:id="1558854699">
      <w:bodyDiv w:val="1"/>
      <w:marLeft w:val="0"/>
      <w:marRight w:val="0"/>
      <w:marTop w:val="0"/>
      <w:marBottom w:val="0"/>
      <w:divBdr>
        <w:top w:val="none" w:sz="0" w:space="0" w:color="auto"/>
        <w:left w:val="none" w:sz="0" w:space="0" w:color="auto"/>
        <w:bottom w:val="none" w:sz="0" w:space="0" w:color="auto"/>
        <w:right w:val="none" w:sz="0" w:space="0" w:color="auto"/>
      </w:divBdr>
    </w:div>
    <w:div w:id="1579946054">
      <w:bodyDiv w:val="1"/>
      <w:marLeft w:val="0"/>
      <w:marRight w:val="0"/>
      <w:marTop w:val="0"/>
      <w:marBottom w:val="0"/>
      <w:divBdr>
        <w:top w:val="none" w:sz="0" w:space="0" w:color="auto"/>
        <w:left w:val="none" w:sz="0" w:space="0" w:color="auto"/>
        <w:bottom w:val="none" w:sz="0" w:space="0" w:color="auto"/>
        <w:right w:val="none" w:sz="0" w:space="0" w:color="auto"/>
      </w:divBdr>
    </w:div>
    <w:div w:id="1626503324">
      <w:bodyDiv w:val="1"/>
      <w:marLeft w:val="0"/>
      <w:marRight w:val="0"/>
      <w:marTop w:val="0"/>
      <w:marBottom w:val="0"/>
      <w:divBdr>
        <w:top w:val="none" w:sz="0" w:space="0" w:color="auto"/>
        <w:left w:val="none" w:sz="0" w:space="0" w:color="auto"/>
        <w:bottom w:val="none" w:sz="0" w:space="0" w:color="auto"/>
        <w:right w:val="none" w:sz="0" w:space="0" w:color="auto"/>
      </w:divBdr>
    </w:div>
    <w:div w:id="1632248791">
      <w:bodyDiv w:val="1"/>
      <w:marLeft w:val="0"/>
      <w:marRight w:val="0"/>
      <w:marTop w:val="0"/>
      <w:marBottom w:val="0"/>
      <w:divBdr>
        <w:top w:val="none" w:sz="0" w:space="0" w:color="auto"/>
        <w:left w:val="none" w:sz="0" w:space="0" w:color="auto"/>
        <w:bottom w:val="none" w:sz="0" w:space="0" w:color="auto"/>
        <w:right w:val="none" w:sz="0" w:space="0" w:color="auto"/>
      </w:divBdr>
    </w:div>
    <w:div w:id="1656254988">
      <w:bodyDiv w:val="1"/>
      <w:marLeft w:val="0"/>
      <w:marRight w:val="0"/>
      <w:marTop w:val="0"/>
      <w:marBottom w:val="0"/>
      <w:divBdr>
        <w:top w:val="none" w:sz="0" w:space="0" w:color="auto"/>
        <w:left w:val="none" w:sz="0" w:space="0" w:color="auto"/>
        <w:bottom w:val="none" w:sz="0" w:space="0" w:color="auto"/>
        <w:right w:val="none" w:sz="0" w:space="0" w:color="auto"/>
      </w:divBdr>
    </w:div>
    <w:div w:id="1679191644">
      <w:bodyDiv w:val="1"/>
      <w:marLeft w:val="0"/>
      <w:marRight w:val="0"/>
      <w:marTop w:val="0"/>
      <w:marBottom w:val="0"/>
      <w:divBdr>
        <w:top w:val="none" w:sz="0" w:space="0" w:color="auto"/>
        <w:left w:val="none" w:sz="0" w:space="0" w:color="auto"/>
        <w:bottom w:val="none" w:sz="0" w:space="0" w:color="auto"/>
        <w:right w:val="none" w:sz="0" w:space="0" w:color="auto"/>
      </w:divBdr>
    </w:div>
    <w:div w:id="1725135057">
      <w:bodyDiv w:val="1"/>
      <w:marLeft w:val="0"/>
      <w:marRight w:val="0"/>
      <w:marTop w:val="0"/>
      <w:marBottom w:val="0"/>
      <w:divBdr>
        <w:top w:val="none" w:sz="0" w:space="0" w:color="auto"/>
        <w:left w:val="none" w:sz="0" w:space="0" w:color="auto"/>
        <w:bottom w:val="none" w:sz="0" w:space="0" w:color="auto"/>
        <w:right w:val="none" w:sz="0" w:space="0" w:color="auto"/>
      </w:divBdr>
    </w:div>
    <w:div w:id="1775249845">
      <w:bodyDiv w:val="1"/>
      <w:marLeft w:val="0"/>
      <w:marRight w:val="0"/>
      <w:marTop w:val="0"/>
      <w:marBottom w:val="0"/>
      <w:divBdr>
        <w:top w:val="none" w:sz="0" w:space="0" w:color="auto"/>
        <w:left w:val="none" w:sz="0" w:space="0" w:color="auto"/>
        <w:bottom w:val="none" w:sz="0" w:space="0" w:color="auto"/>
        <w:right w:val="none" w:sz="0" w:space="0" w:color="auto"/>
      </w:divBdr>
    </w:div>
    <w:div w:id="1778796073">
      <w:bodyDiv w:val="1"/>
      <w:marLeft w:val="0"/>
      <w:marRight w:val="0"/>
      <w:marTop w:val="0"/>
      <w:marBottom w:val="0"/>
      <w:divBdr>
        <w:top w:val="none" w:sz="0" w:space="0" w:color="auto"/>
        <w:left w:val="none" w:sz="0" w:space="0" w:color="auto"/>
        <w:bottom w:val="none" w:sz="0" w:space="0" w:color="auto"/>
        <w:right w:val="none" w:sz="0" w:space="0" w:color="auto"/>
      </w:divBdr>
    </w:div>
    <w:div w:id="1811284508">
      <w:bodyDiv w:val="1"/>
      <w:marLeft w:val="0"/>
      <w:marRight w:val="0"/>
      <w:marTop w:val="0"/>
      <w:marBottom w:val="0"/>
      <w:divBdr>
        <w:top w:val="none" w:sz="0" w:space="0" w:color="auto"/>
        <w:left w:val="none" w:sz="0" w:space="0" w:color="auto"/>
        <w:bottom w:val="none" w:sz="0" w:space="0" w:color="auto"/>
        <w:right w:val="none" w:sz="0" w:space="0" w:color="auto"/>
      </w:divBdr>
    </w:div>
    <w:div w:id="1812281462">
      <w:bodyDiv w:val="1"/>
      <w:marLeft w:val="0"/>
      <w:marRight w:val="0"/>
      <w:marTop w:val="0"/>
      <w:marBottom w:val="0"/>
      <w:divBdr>
        <w:top w:val="none" w:sz="0" w:space="0" w:color="auto"/>
        <w:left w:val="none" w:sz="0" w:space="0" w:color="auto"/>
        <w:bottom w:val="none" w:sz="0" w:space="0" w:color="auto"/>
        <w:right w:val="none" w:sz="0" w:space="0" w:color="auto"/>
      </w:divBdr>
    </w:div>
    <w:div w:id="1814327784">
      <w:bodyDiv w:val="1"/>
      <w:marLeft w:val="0"/>
      <w:marRight w:val="0"/>
      <w:marTop w:val="0"/>
      <w:marBottom w:val="0"/>
      <w:divBdr>
        <w:top w:val="none" w:sz="0" w:space="0" w:color="auto"/>
        <w:left w:val="none" w:sz="0" w:space="0" w:color="auto"/>
        <w:bottom w:val="none" w:sz="0" w:space="0" w:color="auto"/>
        <w:right w:val="none" w:sz="0" w:space="0" w:color="auto"/>
      </w:divBdr>
    </w:div>
    <w:div w:id="1841583447">
      <w:bodyDiv w:val="1"/>
      <w:marLeft w:val="0"/>
      <w:marRight w:val="0"/>
      <w:marTop w:val="0"/>
      <w:marBottom w:val="0"/>
      <w:divBdr>
        <w:top w:val="none" w:sz="0" w:space="0" w:color="auto"/>
        <w:left w:val="none" w:sz="0" w:space="0" w:color="auto"/>
        <w:bottom w:val="none" w:sz="0" w:space="0" w:color="auto"/>
        <w:right w:val="none" w:sz="0" w:space="0" w:color="auto"/>
      </w:divBdr>
    </w:div>
    <w:div w:id="1844205315">
      <w:bodyDiv w:val="1"/>
      <w:marLeft w:val="0"/>
      <w:marRight w:val="0"/>
      <w:marTop w:val="0"/>
      <w:marBottom w:val="0"/>
      <w:divBdr>
        <w:top w:val="none" w:sz="0" w:space="0" w:color="auto"/>
        <w:left w:val="none" w:sz="0" w:space="0" w:color="auto"/>
        <w:bottom w:val="none" w:sz="0" w:space="0" w:color="auto"/>
        <w:right w:val="none" w:sz="0" w:space="0" w:color="auto"/>
      </w:divBdr>
    </w:div>
    <w:div w:id="1860240296">
      <w:bodyDiv w:val="1"/>
      <w:marLeft w:val="0"/>
      <w:marRight w:val="0"/>
      <w:marTop w:val="0"/>
      <w:marBottom w:val="0"/>
      <w:divBdr>
        <w:top w:val="none" w:sz="0" w:space="0" w:color="auto"/>
        <w:left w:val="none" w:sz="0" w:space="0" w:color="auto"/>
        <w:bottom w:val="none" w:sz="0" w:space="0" w:color="auto"/>
        <w:right w:val="none" w:sz="0" w:space="0" w:color="auto"/>
      </w:divBdr>
    </w:div>
    <w:div w:id="1870218228">
      <w:bodyDiv w:val="1"/>
      <w:marLeft w:val="0"/>
      <w:marRight w:val="0"/>
      <w:marTop w:val="0"/>
      <w:marBottom w:val="0"/>
      <w:divBdr>
        <w:top w:val="none" w:sz="0" w:space="0" w:color="auto"/>
        <w:left w:val="none" w:sz="0" w:space="0" w:color="auto"/>
        <w:bottom w:val="none" w:sz="0" w:space="0" w:color="auto"/>
        <w:right w:val="none" w:sz="0" w:space="0" w:color="auto"/>
      </w:divBdr>
    </w:div>
    <w:div w:id="1896041934">
      <w:bodyDiv w:val="1"/>
      <w:marLeft w:val="0"/>
      <w:marRight w:val="0"/>
      <w:marTop w:val="0"/>
      <w:marBottom w:val="0"/>
      <w:divBdr>
        <w:top w:val="none" w:sz="0" w:space="0" w:color="auto"/>
        <w:left w:val="none" w:sz="0" w:space="0" w:color="auto"/>
        <w:bottom w:val="none" w:sz="0" w:space="0" w:color="auto"/>
        <w:right w:val="none" w:sz="0" w:space="0" w:color="auto"/>
      </w:divBdr>
    </w:div>
    <w:div w:id="1927375475">
      <w:bodyDiv w:val="1"/>
      <w:marLeft w:val="0"/>
      <w:marRight w:val="0"/>
      <w:marTop w:val="0"/>
      <w:marBottom w:val="0"/>
      <w:divBdr>
        <w:top w:val="none" w:sz="0" w:space="0" w:color="auto"/>
        <w:left w:val="none" w:sz="0" w:space="0" w:color="auto"/>
        <w:bottom w:val="none" w:sz="0" w:space="0" w:color="auto"/>
        <w:right w:val="none" w:sz="0" w:space="0" w:color="auto"/>
      </w:divBdr>
    </w:div>
    <w:div w:id="1945570269">
      <w:bodyDiv w:val="1"/>
      <w:marLeft w:val="0"/>
      <w:marRight w:val="0"/>
      <w:marTop w:val="0"/>
      <w:marBottom w:val="0"/>
      <w:divBdr>
        <w:top w:val="none" w:sz="0" w:space="0" w:color="auto"/>
        <w:left w:val="none" w:sz="0" w:space="0" w:color="auto"/>
        <w:bottom w:val="none" w:sz="0" w:space="0" w:color="auto"/>
        <w:right w:val="none" w:sz="0" w:space="0" w:color="auto"/>
      </w:divBdr>
    </w:div>
    <w:div w:id="1957833717">
      <w:bodyDiv w:val="1"/>
      <w:marLeft w:val="0"/>
      <w:marRight w:val="0"/>
      <w:marTop w:val="0"/>
      <w:marBottom w:val="0"/>
      <w:divBdr>
        <w:top w:val="none" w:sz="0" w:space="0" w:color="auto"/>
        <w:left w:val="none" w:sz="0" w:space="0" w:color="auto"/>
        <w:bottom w:val="none" w:sz="0" w:space="0" w:color="auto"/>
        <w:right w:val="none" w:sz="0" w:space="0" w:color="auto"/>
      </w:divBdr>
    </w:div>
    <w:div w:id="1968849355">
      <w:bodyDiv w:val="1"/>
      <w:marLeft w:val="0"/>
      <w:marRight w:val="0"/>
      <w:marTop w:val="0"/>
      <w:marBottom w:val="0"/>
      <w:divBdr>
        <w:top w:val="none" w:sz="0" w:space="0" w:color="auto"/>
        <w:left w:val="none" w:sz="0" w:space="0" w:color="auto"/>
        <w:bottom w:val="none" w:sz="0" w:space="0" w:color="auto"/>
        <w:right w:val="none" w:sz="0" w:space="0" w:color="auto"/>
      </w:divBdr>
    </w:div>
    <w:div w:id="2013802474">
      <w:bodyDiv w:val="1"/>
      <w:marLeft w:val="0"/>
      <w:marRight w:val="0"/>
      <w:marTop w:val="0"/>
      <w:marBottom w:val="0"/>
      <w:divBdr>
        <w:top w:val="none" w:sz="0" w:space="0" w:color="auto"/>
        <w:left w:val="none" w:sz="0" w:space="0" w:color="auto"/>
        <w:bottom w:val="none" w:sz="0" w:space="0" w:color="auto"/>
        <w:right w:val="none" w:sz="0" w:space="0" w:color="auto"/>
      </w:divBdr>
    </w:div>
    <w:div w:id="2093310126">
      <w:bodyDiv w:val="1"/>
      <w:marLeft w:val="0"/>
      <w:marRight w:val="0"/>
      <w:marTop w:val="0"/>
      <w:marBottom w:val="0"/>
      <w:divBdr>
        <w:top w:val="none" w:sz="0" w:space="0" w:color="auto"/>
        <w:left w:val="none" w:sz="0" w:space="0" w:color="auto"/>
        <w:bottom w:val="none" w:sz="0" w:space="0" w:color="auto"/>
        <w:right w:val="none" w:sz="0" w:space="0" w:color="auto"/>
      </w:divBdr>
    </w:div>
    <w:div w:id="2094357807">
      <w:bodyDiv w:val="1"/>
      <w:marLeft w:val="0"/>
      <w:marRight w:val="0"/>
      <w:marTop w:val="0"/>
      <w:marBottom w:val="0"/>
      <w:divBdr>
        <w:top w:val="none" w:sz="0" w:space="0" w:color="auto"/>
        <w:left w:val="none" w:sz="0" w:space="0" w:color="auto"/>
        <w:bottom w:val="none" w:sz="0" w:space="0" w:color="auto"/>
        <w:right w:val="none" w:sz="0" w:space="0" w:color="auto"/>
      </w:divBdr>
    </w:div>
    <w:div w:id="2127043545">
      <w:bodyDiv w:val="1"/>
      <w:marLeft w:val="0"/>
      <w:marRight w:val="0"/>
      <w:marTop w:val="0"/>
      <w:marBottom w:val="0"/>
      <w:divBdr>
        <w:top w:val="none" w:sz="0" w:space="0" w:color="auto"/>
        <w:left w:val="none" w:sz="0" w:space="0" w:color="auto"/>
        <w:bottom w:val="none" w:sz="0" w:space="0" w:color="auto"/>
        <w:right w:val="none" w:sz="0" w:space="0" w:color="auto"/>
      </w:divBdr>
    </w:div>
    <w:div w:id="2128036508">
      <w:bodyDiv w:val="1"/>
      <w:marLeft w:val="0"/>
      <w:marRight w:val="0"/>
      <w:marTop w:val="0"/>
      <w:marBottom w:val="0"/>
      <w:divBdr>
        <w:top w:val="none" w:sz="0" w:space="0" w:color="auto"/>
        <w:left w:val="none" w:sz="0" w:space="0" w:color="auto"/>
        <w:bottom w:val="none" w:sz="0" w:space="0" w:color="auto"/>
        <w:right w:val="none" w:sz="0" w:space="0" w:color="auto"/>
      </w:divBdr>
    </w:div>
    <w:div w:id="21352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haron.daniels@harrow.gov.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0226E4B75CFA47B488D2CEFE4DCFDD641E00322D1B544C11E743A5C7D1E5E4FA227D" ma:contentTypeVersion="12" ma:contentTypeDescription="" ma:contentTypeScope="" ma:versionID="4d3bf415faa6f7f70738e8eca47b74d0">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8613bbf3e74375054153f4d0244c0164"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element ref="ns3:Audience"/>
                <xsd:element ref="ns3:Finance_x0020_Category"/>
                <xsd:element ref="ns3:Repor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 (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Audience" ma:index="17" ma:displayName="Audience" ma:format="Dropdown" ma:internalName="Audience">
      <xsd:simpleType>
        <xsd:restriction base="dms:Choice">
          <xsd:enumeration value="Cabinet"/>
          <xsd:enumeration value="Council"/>
          <xsd:enumeration value="CSB"/>
        </xsd:restriction>
      </xsd:simpleType>
    </xsd:element>
    <xsd:element name="Finance_x0020_Category" ma:index="18" ma:displayName="Finance Category" ma:format="Dropdown" ma:internalName="Finance_x0020_Category">
      <xsd:simpleType>
        <xsd:restriction base="dms:Choice">
          <xsd:enumeration value="Capital"/>
          <xsd:enumeration value="Revenue"/>
        </xsd:restriction>
      </xsd:simpleType>
    </xsd:element>
    <xsd:element name="Report_x0020_Type" ma:index="19" ma:displayName="Report Type" ma:format="Dropdown" ma:internalName="Report_x0020_Type">
      <xsd:simpleType>
        <xsd:restriction base="dms:Choice">
          <xsd:enumeration value="Budget Build"/>
          <xsd:enumeration value="Budget Monitoring"/>
          <xsd:enumeration value="Fees and Char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1E"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Finance_x0020_Category xmlns="21034249-a417-400c-94ae-292fd978b91a">Revenue</Finance_x0020_Category>
    <Report_x0020_Type xmlns="21034249-a417-400c-94ae-292fd978b91a">Budget Monitoring</Report_x0020_Type>
    <Financial_x0020_Date xmlns="e48e9339-ef40-4192-ab59-a15ba5582753">2016-10-31T00:00:00+00:00</Financial_x0020_Date>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Audience xmlns="21034249-a417-400c-94ae-292fd978b91a">Cabinet</Audie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CF59-7F7F-4B44-A644-6AA3B571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5E281-FBE6-46CF-A661-918C14305235}">
  <ds:schemaRefs>
    <ds:schemaRef ds:uri="Microsoft.SharePoint.Taxonomy.ContentTypeSync"/>
  </ds:schemaRefs>
</ds:datastoreItem>
</file>

<file path=customXml/itemProps3.xml><?xml version="1.0" encoding="utf-8"?>
<ds:datastoreItem xmlns:ds="http://schemas.openxmlformats.org/officeDocument/2006/customXml" ds:itemID="{B9BC925F-5004-4C23-A8D1-448F06E40D5B}">
  <ds:schemaRefs>
    <ds:schemaRef ds:uri="http://schemas.microsoft.com/sharepoint/v3/contenttype/forms"/>
  </ds:schemaRefs>
</ds:datastoreItem>
</file>

<file path=customXml/itemProps4.xml><?xml version="1.0" encoding="utf-8"?>
<ds:datastoreItem xmlns:ds="http://schemas.openxmlformats.org/officeDocument/2006/customXml" ds:itemID="{70F07451-7AD7-43F1-A856-236694DDB346}">
  <ds:schemaRef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21034249-a417-400c-94ae-292fd978b91a"/>
    <ds:schemaRef ds:uri="e48e9339-ef40-4192-ab59-a15ba5582753"/>
    <ds:schemaRef ds:uri="http://purl.org/dc/terms/"/>
  </ds:schemaRefs>
</ds:datastoreItem>
</file>

<file path=customXml/itemProps5.xml><?xml version="1.0" encoding="utf-8"?>
<ds:datastoreItem xmlns:ds="http://schemas.openxmlformats.org/officeDocument/2006/customXml" ds:itemID="{7315FA13-ED68-4C45-8C5B-D09E0BA3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7386</Words>
  <Characters>39399</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46692</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Donna Harris</cp:lastModifiedBy>
  <cp:revision>6</cp:revision>
  <cp:lastPrinted>2017-01-11T16:03:00Z</cp:lastPrinted>
  <dcterms:created xsi:type="dcterms:W3CDTF">2017-02-07T09:44:00Z</dcterms:created>
  <dcterms:modified xsi:type="dcterms:W3CDTF">2017-03-06T13:50:00Z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0x0101000226E4B75CFA47B488D2CEFE4DCFDD641E00322D1B544C11E743A5C7D1E5E4FA227D</vt:lpwstr>
  </property>
  <property fmtid="{D5CDD505-2E9C-101B-9397-08002B2CF9AE}" pid="3" name="TaxKeyword">
    <vt:lpwstr/>
  </property>
</Properties>
</file>